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40"/>
      </w:pPr>
    </w:p>
    <w:p>
      <w:pPr>
        <w:spacing w:after="320"/>
        <w:jc w:val="center"/>
      </w:pPr>
      <w:r>
        <w:rPr>
          <w:rFonts w:ascii="Calibri" w:hAnsi="Calibri"/>
          <w:b/>
          <w:color w:val="D86A0B"/>
          <w:sz w:val="20"/>
        </w:rPr>
        <w:t>COMPATIBILITÉ PROGRAMMATIQUE — PRÉSIDENTIELLE 2027</w:t>
      </w:r>
    </w:p>
    <w:p>
      <w:pPr>
        <w:keepNext/>
        <w:spacing w:after="160"/>
        <w:jc w:val="center"/>
      </w:pPr>
      <w:r>
        <w:rPr>
          <w:rFonts w:ascii="Calibri" w:hAnsi="Calibri"/>
          <w:b/>
          <w:color w:val="171717"/>
          <w:sz w:val="56"/>
        </w:rPr>
        <w:t>Cinq référentiels, cinq lectures</w:t>
      </w:r>
    </w:p>
    <w:p>
      <w:pPr>
        <w:spacing w:after="200"/>
        <w:jc w:val="center"/>
      </w:pPr>
      <w:r>
        <w:rPr>
          <w:rFonts w:ascii="Calibri" w:hAnsi="Calibri"/>
          <w:color w:val="66616F"/>
          <w:sz w:val="28"/>
        </w:rPr>
        <w:t>Parti Pirate · Volt · Équinoxe · La France Humaniste · PRG</w:t>
      </w:r>
    </w:p>
    <w:p>
      <w:pPr>
        <w:spacing w:after="680"/>
        <w:jc w:val="center"/>
      </w:pPr>
      <w:r>
        <w:rPr>
          <w:rFonts w:ascii="Calibri" w:hAnsi="Calibri"/>
          <w:b/>
          <w:color w:val="D86A0B"/>
          <w:sz w:val="20"/>
        </w:rPr>
        <w:t>Version du 7 août 2026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80"/>
      </w:tblPr>
      <w:tblGrid>
        <w:gridCol w:w="9360"/>
      </w:tblGrid>
      <w:tr>
        <w:trPr/>
        <w:tc>
          <w:tcPr>
            <w:tcW w:type="dxa" w:w="9360"/>
            <w:shd w:fill="FFF3E5"/>
            <w:vAlign w:val="center"/>
            <w:tcMar>
              <w:top w:w="160" w:type="dxa"/>
              <w:bottom w:w="160" w:type="dxa"/>
              <w:start w:w="180" w:type="dxa"/>
              <w:end w:w="180" w:type="dxa"/>
            </w:tcMar>
          </w:tcPr>
          <w:p>
            <w:pPr>
              <w:spacing w:after="0" w:line="288" w:lineRule="auto"/>
            </w:pPr>
            <w:r>
              <w:rPr>
                <w:rFonts w:ascii="Calibri" w:hAnsi="Calibri"/>
                <w:b/>
                <w:color w:val="171717"/>
                <w:sz w:val="21"/>
              </w:rPr>
              <w:t>Chaque score sur 100 est autonome. Les cinq scores d’une candidature ne sont ni additionnés, ni moyennés, et ne produisent aucun classement général.</w:t>
            </w:r>
          </w:p>
        </w:tc>
      </w:tr>
    </w:tbl>
    <w:p>
      <w:r>
        <w:br w:type="page"/>
      </w:r>
    </w:p>
    <w:p>
      <w:pPr>
        <w:pStyle w:val="Heading1"/>
      </w:pPr>
      <w:r>
        <w:t>Objet de la synthèse</w:t>
      </w:r>
    </w:p>
    <w:p>
      <w:r>
        <w:t>Le comparateur confronte dix candidatures envisagées pour 2027 à cinq référentiels politiques distincts. La synthèse permet d’observer les variations entre grilles sans effacer leurs différences de fond.</w:t>
      </w:r>
    </w:p>
    <w:p>
      <w:pPr>
        <w:keepLines/>
      </w:pPr>
      <w:r>
        <w:rPr>
          <w:rFonts w:ascii="Calibri" w:hAnsi="Calibri"/>
          <w:b/>
          <w:color w:val="171717"/>
        </w:rPr>
        <w:t xml:space="preserve">Périmètre : </w:t>
      </w:r>
      <w:r>
        <w:rPr>
          <w:rFonts w:ascii="Calibri" w:hAnsi="Calibri"/>
          <w:color w:val="171717"/>
        </w:rPr>
        <w:t>5 référentiels, 50 scores autonomes et 500 notes argumentées</w:t>
      </w:r>
    </w:p>
    <w:p>
      <w:pPr>
        <w:keepLines/>
      </w:pPr>
      <w:r>
        <w:rPr>
          <w:rFonts w:ascii="Calibri" w:hAnsi="Calibri"/>
          <w:b/>
          <w:color w:val="171717"/>
        </w:rPr>
        <w:t xml:space="preserve">Méthode commune : </w:t>
      </w:r>
      <w:r>
        <w:rPr>
          <w:rFonts w:ascii="Calibri" w:hAnsi="Calibri"/>
          <w:color w:val="171717"/>
        </w:rPr>
        <w:t>10 axes équipondérés par référentiel ; note entière de 0 à 10 ; total sur 100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60"/>
      </w:tblPr>
      <w:tblGrid>
        <w:gridCol w:w="9360"/>
      </w:tblGrid>
      <w:tr>
        <w:trPr/>
        <w:tc>
          <w:tcPr>
            <w:tcW w:type="dxa" w:w="9360"/>
            <w:shd w:fill="FFF3E5"/>
            <w:tcMar>
              <w:top w:w="130" w:type="dxa"/>
              <w:bottom w:w="130" w:type="dxa"/>
              <w:start w:w="16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D86A0B"/>
                <w:sz w:val="21"/>
              </w:rPr>
              <w:t>Le minimum, le maximum et l’amplitude décrivent une variation entre référentiels. Ils ne constituent pas une note générale.</w:t>
            </w:r>
          </w:p>
        </w:tc>
      </w:tr>
    </w:tbl>
    <w:p>
      <w:pPr>
        <w:pStyle w:val="Heading1"/>
      </w:pPr>
      <w:r>
        <w:t>Les cinq référentiels</w:t>
      </w:r>
    </w:p>
    <w:p>
      <w:pPr>
        <w:pStyle w:val="Heading2"/>
      </w:pPr>
      <w:r>
        <w:t>Parti Pirate — Libertés, démocratie et communs</w:t>
      </w:r>
    </w:p>
    <w:p>
      <w:r>
        <w:t>Vie privée, Internet ouvert, connaissance et culture, transparence, autonomie individuelle, démocratie participative et encadrement des pouvoirs numériques.</w:t>
      </w:r>
    </w:p>
    <w:p>
      <w:pPr>
        <w:pStyle w:val="Heading2"/>
      </w:pPr>
      <w:r>
        <w:t>Volt — Fédéralisme et puissance européenne</w:t>
      </w:r>
    </w:p>
    <w:p>
      <w:r>
        <w:t>Institutions européennes intégrées, défense commune, État de droit, innovation, politiques climatiques européennes, mobilité et solidarité entre États membres.</w:t>
      </w:r>
    </w:p>
    <w:p>
      <w:pPr>
        <w:pStyle w:val="Heading2"/>
      </w:pPr>
      <w:r>
        <w:t>Équinoxe — Transition matérielle et résilience</w:t>
      </w:r>
    </w:p>
    <w:p>
      <w:r>
        <w:t>Sobriété, combinaison nucléaire-renouvelables, électrification, mobilités bas carbone, agriculture, réindustrialisation, services publics et résilience territoriale.</w:t>
      </w:r>
    </w:p>
    <w:p>
      <w:pPr>
        <w:pStyle w:val="Heading2"/>
      </w:pPr>
      <w:r>
        <w:t>La France Humaniste — Gaullisme social et européen</w:t>
      </w:r>
    </w:p>
    <w:p>
      <w:r>
        <w:t>État fort, travail et protection sociale, maîtrise de la dette, souverainetés industrielles, écogaullisme, Europe-puissance et diplomatie indépendante.</w:t>
      </w:r>
    </w:p>
    <w:p>
      <w:pPr>
        <w:pStyle w:val="Heading2"/>
      </w:pPr>
      <w:r>
        <w:t>Parti radical de gauche — République sociale, décentralisée et européenne</w:t>
      </w:r>
    </w:p>
    <w:p>
      <w:r>
        <w:t>Libertés et laïcité, République parlementaire, démocratie citoyenne et économique, justice fiscale, souveraineté numérique, territoires et Europe protectrice. Le corpus principal date de 2022.</w:t>
      </w:r>
    </w:p>
    <w:p>
      <w:r>
        <w:br w:type="page"/>
      </w:r>
    </w:p>
    <w:p>
      <w:pPr>
        <w:pStyle w:val="Heading1"/>
      </w:pPr>
      <w:r>
        <w:t>Tableau transversal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897880" cy="3669792"/>
            <wp:docPr id="1" name="Picture 1" descr="Matrice de dix candidatures et cinq référentiels, sans moyenne générale." title="Matrice de dix candidatures et cinq référentiels, sans moyenne générale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trice-5-referentiel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6697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160"/>
        <w:jc w:val="center"/>
      </w:pPr>
      <w:r>
        <w:rPr>
          <w:rFonts w:ascii="Calibri" w:hAnsi="Calibri"/>
          <w:i/>
          <w:color w:val="66616F"/>
          <w:sz w:val="18"/>
        </w:rPr>
        <w:t>Le contour signale le score maximal de chaque ligne ; il ne crée pas de classement agrégé.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3240"/>
        <w:gridCol w:w="979"/>
        <w:gridCol w:w="893"/>
        <w:gridCol w:w="1037"/>
        <w:gridCol w:w="979"/>
        <w:gridCol w:w="893"/>
        <w:gridCol w:w="1339"/>
      </w:tblGrid>
      <w:tr>
        <w:trPr>
          <w:tblHeader w:val="true"/>
          <w:cantSplit/>
        </w:trPr>
        <w:tc>
          <w:tcPr>
            <w:tcW w:type="dxa" w:w="3240"/>
            <w:vAlign w:val="center"/>
            <w:shd w:fill="D86A0B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b/>
                <w:color w:val="FFFFFF"/>
                <w:sz w:val="18"/>
              </w:rPr>
              <w:t>Candidature</w:t>
            </w:r>
          </w:p>
        </w:tc>
        <w:tc>
          <w:tcPr>
            <w:tcW w:type="dxa" w:w="979"/>
            <w:vAlign w:val="center"/>
            <w:shd w:fill="D86A0B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b/>
                <w:color w:val="FFFFFF"/>
                <w:sz w:val="18"/>
              </w:rPr>
              <w:t>Pirate</w:t>
            </w:r>
          </w:p>
        </w:tc>
        <w:tc>
          <w:tcPr>
            <w:tcW w:type="dxa" w:w="893"/>
            <w:vAlign w:val="center"/>
            <w:shd w:fill="D86A0B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b/>
                <w:color w:val="FFFFFF"/>
                <w:sz w:val="18"/>
              </w:rPr>
              <w:t>Volt</w:t>
            </w:r>
          </w:p>
        </w:tc>
        <w:tc>
          <w:tcPr>
            <w:tcW w:type="dxa" w:w="1037"/>
            <w:vAlign w:val="center"/>
            <w:shd w:fill="D86A0B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b/>
                <w:color w:val="FFFFFF"/>
                <w:sz w:val="18"/>
              </w:rPr>
              <w:t>Équinoxe</w:t>
            </w:r>
          </w:p>
        </w:tc>
        <w:tc>
          <w:tcPr>
            <w:tcW w:type="dxa" w:w="979"/>
            <w:vAlign w:val="center"/>
            <w:shd w:fill="D86A0B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b/>
                <w:color w:val="FFFFFF"/>
                <w:sz w:val="18"/>
              </w:rPr>
              <w:t>LFH</w:t>
            </w:r>
          </w:p>
        </w:tc>
        <w:tc>
          <w:tcPr>
            <w:tcW w:type="dxa" w:w="893"/>
            <w:vAlign w:val="center"/>
            <w:shd w:fill="D86A0B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b/>
                <w:color w:val="FFFFFF"/>
                <w:sz w:val="18"/>
              </w:rPr>
              <w:t>PRG</w:t>
            </w:r>
          </w:p>
        </w:tc>
        <w:tc>
          <w:tcPr>
            <w:tcW w:type="dxa" w:w="1339"/>
            <w:vAlign w:val="center"/>
            <w:shd w:fill="D86A0B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b/>
                <w:color w:val="FFFFFF"/>
                <w:sz w:val="18"/>
              </w:rPr>
              <w:t>Amplitude</w:t>
            </w:r>
          </w:p>
        </w:tc>
      </w:tr>
      <w:tr>
        <w:trPr>
          <w:cantSplit/>
        </w:trPr>
        <w:tc>
          <w:tcPr>
            <w:tcW w:type="dxa" w:w="32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Marine Tondelier</w:t>
            </w:r>
          </w:p>
        </w:tc>
        <w:tc>
          <w:tcPr>
            <w:tcW w:type="dxa" w:w="97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87</w:t>
            </w:r>
          </w:p>
        </w:tc>
        <w:tc>
          <w:tcPr>
            <w:tcW w:type="dxa" w:w="89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91</w:t>
            </w:r>
          </w:p>
        </w:tc>
        <w:tc>
          <w:tcPr>
            <w:tcW w:type="dxa" w:w="103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91</w:t>
            </w:r>
          </w:p>
        </w:tc>
        <w:tc>
          <w:tcPr>
            <w:tcW w:type="dxa" w:w="97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74</w:t>
            </w:r>
          </w:p>
        </w:tc>
        <w:tc>
          <w:tcPr>
            <w:tcW w:type="dxa" w:w="89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89</w:t>
            </w:r>
          </w:p>
        </w:tc>
        <w:tc>
          <w:tcPr>
            <w:tcW w:type="dxa" w:w="133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17 pts</w:t>
            </w:r>
          </w:p>
        </w:tc>
      </w:tr>
      <w:tr>
        <w:trPr>
          <w:cantSplit/>
        </w:trPr>
        <w:tc>
          <w:tcPr>
            <w:tcW w:type="dxa" w:w="3240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Raphaël Glucksmann</w:t>
            </w:r>
          </w:p>
        </w:tc>
        <w:tc>
          <w:tcPr>
            <w:tcW w:type="dxa" w:w="979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76</w:t>
            </w:r>
          </w:p>
        </w:tc>
        <w:tc>
          <w:tcPr>
            <w:tcW w:type="dxa" w:w="893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92</w:t>
            </w:r>
          </w:p>
        </w:tc>
        <w:tc>
          <w:tcPr>
            <w:tcW w:type="dxa" w:w="1037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88</w:t>
            </w:r>
          </w:p>
        </w:tc>
        <w:tc>
          <w:tcPr>
            <w:tcW w:type="dxa" w:w="979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79</w:t>
            </w:r>
          </w:p>
        </w:tc>
        <w:tc>
          <w:tcPr>
            <w:tcW w:type="dxa" w:w="893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83</w:t>
            </w:r>
          </w:p>
        </w:tc>
        <w:tc>
          <w:tcPr>
            <w:tcW w:type="dxa" w:w="1339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16 pts</w:t>
            </w:r>
          </w:p>
        </w:tc>
      </w:tr>
      <w:tr>
        <w:trPr>
          <w:cantSplit/>
        </w:trPr>
        <w:tc>
          <w:tcPr>
            <w:tcW w:type="dxa" w:w="32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François Ruffin</w:t>
            </w:r>
          </w:p>
        </w:tc>
        <w:tc>
          <w:tcPr>
            <w:tcW w:type="dxa" w:w="97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79</w:t>
            </w:r>
          </w:p>
        </w:tc>
        <w:tc>
          <w:tcPr>
            <w:tcW w:type="dxa" w:w="89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77</w:t>
            </w:r>
          </w:p>
        </w:tc>
        <w:tc>
          <w:tcPr>
            <w:tcW w:type="dxa" w:w="103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86</w:t>
            </w:r>
          </w:p>
        </w:tc>
        <w:tc>
          <w:tcPr>
            <w:tcW w:type="dxa" w:w="97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74</w:t>
            </w:r>
          </w:p>
        </w:tc>
        <w:tc>
          <w:tcPr>
            <w:tcW w:type="dxa" w:w="89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84</w:t>
            </w:r>
          </w:p>
        </w:tc>
        <w:tc>
          <w:tcPr>
            <w:tcW w:type="dxa" w:w="133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12 pts</w:t>
            </w:r>
          </w:p>
        </w:tc>
      </w:tr>
      <w:tr>
        <w:trPr>
          <w:cantSplit/>
        </w:trPr>
        <w:tc>
          <w:tcPr>
            <w:tcW w:type="dxa" w:w="3240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Jean-Luc Mélenchon</w:t>
            </w:r>
          </w:p>
        </w:tc>
        <w:tc>
          <w:tcPr>
            <w:tcW w:type="dxa" w:w="979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78</w:t>
            </w:r>
          </w:p>
        </w:tc>
        <w:tc>
          <w:tcPr>
            <w:tcW w:type="dxa" w:w="893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68</w:t>
            </w:r>
          </w:p>
        </w:tc>
        <w:tc>
          <w:tcPr>
            <w:tcW w:type="dxa" w:w="1037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86</w:t>
            </w:r>
          </w:p>
        </w:tc>
        <w:tc>
          <w:tcPr>
            <w:tcW w:type="dxa" w:w="979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68</w:t>
            </w:r>
          </w:p>
        </w:tc>
        <w:tc>
          <w:tcPr>
            <w:tcW w:type="dxa" w:w="893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86</w:t>
            </w:r>
          </w:p>
        </w:tc>
        <w:tc>
          <w:tcPr>
            <w:tcW w:type="dxa" w:w="1339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18 pts</w:t>
            </w:r>
          </w:p>
        </w:tc>
      </w:tr>
      <w:tr>
        <w:trPr>
          <w:cantSplit/>
        </w:trPr>
        <w:tc>
          <w:tcPr>
            <w:tcW w:type="dxa" w:w="32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Fabien Roussel</w:t>
            </w:r>
          </w:p>
        </w:tc>
        <w:tc>
          <w:tcPr>
            <w:tcW w:type="dxa" w:w="97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68</w:t>
            </w:r>
          </w:p>
        </w:tc>
        <w:tc>
          <w:tcPr>
            <w:tcW w:type="dxa" w:w="89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63</w:t>
            </w:r>
          </w:p>
        </w:tc>
        <w:tc>
          <w:tcPr>
            <w:tcW w:type="dxa" w:w="103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71</w:t>
            </w:r>
          </w:p>
        </w:tc>
        <w:tc>
          <w:tcPr>
            <w:tcW w:type="dxa" w:w="97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75</w:t>
            </w:r>
          </w:p>
        </w:tc>
        <w:tc>
          <w:tcPr>
            <w:tcW w:type="dxa" w:w="89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81</w:t>
            </w:r>
          </w:p>
        </w:tc>
        <w:tc>
          <w:tcPr>
            <w:tcW w:type="dxa" w:w="133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18 pts</w:t>
            </w:r>
          </w:p>
        </w:tc>
      </w:tr>
      <w:tr>
        <w:trPr>
          <w:cantSplit/>
        </w:trPr>
        <w:tc>
          <w:tcPr>
            <w:tcW w:type="dxa" w:w="3240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Gabriel Attal</w:t>
            </w:r>
          </w:p>
        </w:tc>
        <w:tc>
          <w:tcPr>
            <w:tcW w:type="dxa" w:w="979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56</w:t>
            </w:r>
          </w:p>
        </w:tc>
        <w:tc>
          <w:tcPr>
            <w:tcW w:type="dxa" w:w="893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76</w:t>
            </w:r>
          </w:p>
        </w:tc>
        <w:tc>
          <w:tcPr>
            <w:tcW w:type="dxa" w:w="1037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66</w:t>
            </w:r>
          </w:p>
        </w:tc>
        <w:tc>
          <w:tcPr>
            <w:tcW w:type="dxa" w:w="979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63</w:t>
            </w:r>
          </w:p>
        </w:tc>
        <w:tc>
          <w:tcPr>
            <w:tcW w:type="dxa" w:w="893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55</w:t>
            </w:r>
          </w:p>
        </w:tc>
        <w:tc>
          <w:tcPr>
            <w:tcW w:type="dxa" w:w="1339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21 pts</w:t>
            </w:r>
          </w:p>
        </w:tc>
      </w:tr>
      <w:tr>
        <w:trPr>
          <w:cantSplit/>
        </w:trPr>
        <w:tc>
          <w:tcPr>
            <w:tcW w:type="dxa" w:w="32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Édouard Philippe</w:t>
            </w:r>
          </w:p>
        </w:tc>
        <w:tc>
          <w:tcPr>
            <w:tcW w:type="dxa" w:w="97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55</w:t>
            </w:r>
          </w:p>
        </w:tc>
        <w:tc>
          <w:tcPr>
            <w:tcW w:type="dxa" w:w="89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68</w:t>
            </w:r>
          </w:p>
        </w:tc>
        <w:tc>
          <w:tcPr>
            <w:tcW w:type="dxa" w:w="103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60</w:t>
            </w:r>
          </w:p>
        </w:tc>
        <w:tc>
          <w:tcPr>
            <w:tcW w:type="dxa" w:w="97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69</w:t>
            </w:r>
          </w:p>
        </w:tc>
        <w:tc>
          <w:tcPr>
            <w:tcW w:type="dxa" w:w="89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54</w:t>
            </w:r>
          </w:p>
        </w:tc>
        <w:tc>
          <w:tcPr>
            <w:tcW w:type="dxa" w:w="133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15 pts</w:t>
            </w:r>
          </w:p>
        </w:tc>
      </w:tr>
      <w:tr>
        <w:trPr>
          <w:cantSplit/>
        </w:trPr>
        <w:tc>
          <w:tcPr>
            <w:tcW w:type="dxa" w:w="3240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Marine Le Pen</w:t>
            </w:r>
          </w:p>
        </w:tc>
        <w:tc>
          <w:tcPr>
            <w:tcW w:type="dxa" w:w="979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39</w:t>
            </w:r>
          </w:p>
        </w:tc>
        <w:tc>
          <w:tcPr>
            <w:tcW w:type="dxa" w:w="893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29</w:t>
            </w:r>
          </w:p>
        </w:tc>
        <w:tc>
          <w:tcPr>
            <w:tcW w:type="dxa" w:w="1037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41</w:t>
            </w:r>
          </w:p>
        </w:tc>
        <w:tc>
          <w:tcPr>
            <w:tcW w:type="dxa" w:w="979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52</w:t>
            </w:r>
          </w:p>
        </w:tc>
        <w:tc>
          <w:tcPr>
            <w:tcW w:type="dxa" w:w="893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46</w:t>
            </w:r>
          </w:p>
        </w:tc>
        <w:tc>
          <w:tcPr>
            <w:tcW w:type="dxa" w:w="1339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23 pts</w:t>
            </w:r>
          </w:p>
        </w:tc>
      </w:tr>
      <w:tr>
        <w:trPr>
          <w:cantSplit/>
        </w:trPr>
        <w:tc>
          <w:tcPr>
            <w:tcW w:type="dxa" w:w="32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Bruno Retailleau</w:t>
            </w:r>
          </w:p>
        </w:tc>
        <w:tc>
          <w:tcPr>
            <w:tcW w:type="dxa" w:w="97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34</w:t>
            </w:r>
          </w:p>
        </w:tc>
        <w:tc>
          <w:tcPr>
            <w:tcW w:type="dxa" w:w="89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49</w:t>
            </w:r>
          </w:p>
        </w:tc>
        <w:tc>
          <w:tcPr>
            <w:tcW w:type="dxa" w:w="103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34</w:t>
            </w:r>
          </w:p>
        </w:tc>
        <w:tc>
          <w:tcPr>
            <w:tcW w:type="dxa" w:w="97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49</w:t>
            </w:r>
          </w:p>
        </w:tc>
        <w:tc>
          <w:tcPr>
            <w:tcW w:type="dxa" w:w="89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37</w:t>
            </w:r>
          </w:p>
        </w:tc>
        <w:tc>
          <w:tcPr>
            <w:tcW w:type="dxa" w:w="133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15 pts</w:t>
            </w:r>
          </w:p>
        </w:tc>
      </w:tr>
      <w:tr>
        <w:trPr>
          <w:cantSplit/>
        </w:trPr>
        <w:tc>
          <w:tcPr>
            <w:tcW w:type="dxa" w:w="3240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Éric Zemmour</w:t>
            </w:r>
          </w:p>
        </w:tc>
        <w:tc>
          <w:tcPr>
            <w:tcW w:type="dxa" w:w="979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28</w:t>
            </w:r>
          </w:p>
        </w:tc>
        <w:tc>
          <w:tcPr>
            <w:tcW w:type="dxa" w:w="893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18</w:t>
            </w:r>
          </w:p>
        </w:tc>
        <w:tc>
          <w:tcPr>
            <w:tcW w:type="dxa" w:w="1037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24</w:t>
            </w:r>
          </w:p>
        </w:tc>
        <w:tc>
          <w:tcPr>
            <w:tcW w:type="dxa" w:w="979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35</w:t>
            </w:r>
          </w:p>
        </w:tc>
        <w:tc>
          <w:tcPr>
            <w:tcW w:type="dxa" w:w="893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24</w:t>
            </w:r>
          </w:p>
        </w:tc>
        <w:tc>
          <w:tcPr>
            <w:tcW w:type="dxa" w:w="1339"/>
            <w:vAlign w:val="center"/>
            <w:shd w:fill="F7F5F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color w:val="171717"/>
                <w:sz w:val="17"/>
              </w:rPr>
              <w:t>17 pts</w:t>
            </w:r>
          </w:p>
        </w:tc>
      </w:tr>
    </w:tbl>
    <w:p>
      <w:pPr>
        <w:pStyle w:val="Heading1"/>
      </w:pPr>
      <w:r>
        <w:t>Ce que montre la comparaison</w:t>
      </w:r>
    </w:p>
    <w:p>
      <w:pPr>
        <w:pStyle w:val="Heading2"/>
      </w:pPr>
      <w:r>
        <w:t>Un groupe de tête récurrent, sans vainqueur général</w:t>
      </w:r>
    </w:p>
    <w:p>
      <w:r>
        <w:t>Tondelier, Glucksmann, Ruffin et Mélenchon figurent souvent dans le haut des tableaux, mais leur ordre varie. Tondelier occupe trois premières places et Glucksmann deux ; ce constat ne produit pas de résultat agrégé.</w:t>
      </w:r>
    </w:p>
    <w:p>
      <w:pPr>
        <w:pStyle w:val="Heading2"/>
      </w:pPr>
      <w:r>
        <w:t>Le référentiel déplace fortement certaines candidatures</w:t>
      </w:r>
    </w:p>
    <w:p>
      <w:r>
        <w:t>Les amplitudes vont de 12 à 23 points. Marine Le Pen varie de 29 chez Volt à 52 chez La France Humaniste ; Gabriel Attal de 55 chez le PRG à 76 chez Volt ; Ruffin reste le plus stable avec 12 points.</w:t>
      </w:r>
    </w:p>
    <w:p>
      <w:pPr>
        <w:pStyle w:val="Heading2"/>
      </w:pPr>
      <w:r>
        <w:t>Le PRG apporte une lecture institutionnelle et sociale distincte</w:t>
      </w:r>
    </w:p>
    <w:p>
      <w:r>
        <w:t>Le PRG valorise la combinaison du parlementarisme, de la démocratie économique, de la redistribution, de la décentralisation et de la construction européenne. Cette combinaison explique son classement propre.</w:t>
      </w:r>
    </w:p>
    <w:p>
      <w:pPr>
        <w:pStyle w:val="Heading2"/>
      </w:pPr>
      <w:r>
        <w:t>Des convergences qui s’expliquent en partie</w:t>
      </w:r>
    </w:p>
    <w:p>
      <w:r>
        <w:t>Les cinq grilles partagent certains thèmes et s’appuient sur les mêmes programmes de candidats. Des classements proches peuvent donc refléter ce socle commun, sans rendre les référentiels interchangeables.</w:t>
      </w:r>
    </w:p>
    <w:p>
      <w:pPr>
        <w:pStyle w:val="Heading1"/>
      </w:pPr>
      <w:r>
        <w:t>Comment lire les scores</w:t>
      </w:r>
    </w:p>
    <w:p>
      <w:pPr>
        <w:keepLines/>
      </w:pPr>
      <w:r>
        <w:rPr>
          <w:rFonts w:ascii="Calibri" w:hAnsi="Calibri"/>
          <w:b/>
          <w:color w:val="171717"/>
        </w:rPr>
        <w:t xml:space="preserve">Lecture : </w:t>
      </w:r>
      <w:r>
        <w:rPr>
          <w:rFonts w:ascii="Calibri" w:hAnsi="Calibri"/>
          <w:color w:val="171717"/>
        </w:rPr>
        <w:t>Lire chaque score à l’intérieur du référentiel qui l’a produit.</w:t>
      </w:r>
    </w:p>
    <w:p>
      <w:pPr>
        <w:keepLines/>
      </w:pPr>
      <w:r>
        <w:rPr>
          <w:rFonts w:ascii="Calibri" w:hAnsi="Calibri"/>
          <w:b/>
          <w:color w:val="171717"/>
        </w:rPr>
        <w:t xml:space="preserve">Écarts : </w:t>
      </w:r>
      <w:r>
        <w:rPr>
          <w:rFonts w:ascii="Calibri" w:hAnsi="Calibri"/>
          <w:color w:val="171717"/>
        </w:rPr>
        <w:t>Un écart de 1 ou 2 points n’est pas décisif.</w:t>
      </w:r>
    </w:p>
    <w:p>
      <w:pPr>
        <w:keepLines/>
      </w:pPr>
      <w:r>
        <w:rPr>
          <w:rFonts w:ascii="Calibri" w:hAnsi="Calibri"/>
          <w:b/>
          <w:color w:val="171717"/>
        </w:rPr>
        <w:t xml:space="preserve">Équipondération : </w:t>
      </w:r>
      <w:r>
        <w:rPr>
          <w:rFonts w:ascii="Calibri" w:hAnsi="Calibri"/>
          <w:color w:val="171717"/>
        </w:rPr>
        <w:t>Une divergence majeure peut être compensée par plusieurs convergences sur d’autres axes.</w:t>
      </w:r>
    </w:p>
    <w:p>
      <w:pPr>
        <w:keepLines/>
      </w:pPr>
      <w:r>
        <w:rPr>
          <w:rFonts w:ascii="Calibri" w:hAnsi="Calibri"/>
          <w:b/>
          <w:color w:val="171717"/>
        </w:rPr>
        <w:t xml:space="preserve">Documentation : </w:t>
      </w:r>
      <w:r>
        <w:rPr>
          <w:rFonts w:ascii="Calibri" w:hAnsi="Calibri"/>
          <w:color w:val="171717"/>
        </w:rPr>
        <w:t>Une position incomplète est signalée ; elle n’est pas automatiquement notée 5/10.</w:t>
      </w:r>
    </w:p>
    <w:p>
      <w:pPr>
        <w:keepLines/>
      </w:pPr>
      <w:r>
        <w:rPr>
          <w:rFonts w:ascii="Calibri" w:hAnsi="Calibri"/>
          <w:b/>
          <w:color w:val="171717"/>
        </w:rPr>
        <w:t xml:space="preserve">Limites : </w:t>
      </w:r>
      <w:r>
        <w:rPr>
          <w:rFonts w:ascii="Calibri" w:hAnsi="Calibri"/>
          <w:color w:val="171717"/>
        </w:rPr>
        <w:t>Le score n’évalue ni la compétence, ni l’intégrité, ni la crédibilité, ni la faisabilité budgétaire.</w:t>
      </w:r>
    </w:p>
    <w:p>
      <w:pPr>
        <w:keepLines/>
      </w:pPr>
      <w:r>
        <w:rPr>
          <w:rFonts w:ascii="Calibri" w:hAnsi="Calibri"/>
          <w:b/>
          <w:color w:val="171717"/>
        </w:rPr>
        <w:t xml:space="preserve">Variation : </w:t>
      </w:r>
      <w:r>
        <w:rPr>
          <w:rFonts w:ascii="Calibri" w:hAnsi="Calibri"/>
          <w:color w:val="171717"/>
        </w:rPr>
        <w:t>Le minimum, le maximum et l’amplitude ne forment pas une note générale.</w:t>
      </w:r>
    </w:p>
    <w:p>
      <w:r>
        <w:br w:type="page"/>
      </w:r>
    </w:p>
    <w:p>
      <w:pPr>
        <w:pStyle w:val="Heading1"/>
      </w:pPr>
      <w:r>
        <w:t>Documents de référence</w:t>
      </w:r>
    </w:p>
    <w:p>
      <w:pPr>
        <w:spacing w:after="100"/>
      </w:pPr>
      <w:hyperlink r:id="rId12">
        <w:r>
          <w:rPr>
            <w:color w:val="D86A0B"/>
            <w:u w:val="single"/>
          </w:rPr>
          <w:t>Parti Pirate — programme commun européen 2024</w:t>
        </w:r>
      </w:hyperlink>
      <w:r>
        <w:rPr>
          <w:rFonts w:ascii="Calibri" w:hAnsi="Calibri"/>
          <w:color w:val="66616F"/>
          <w:sz w:val="18"/>
        </w:rPr>
        <w:t xml:space="preserve"> — https://european-pirateparty.eu/common-european-election-programme-2024/</w:t>
      </w:r>
    </w:p>
    <w:p>
      <w:pPr>
        <w:spacing w:after="100"/>
      </w:pPr>
      <w:hyperlink r:id="rId13">
        <w:r>
          <w:rPr>
            <w:color w:val="D86A0B"/>
            <w:u w:val="single"/>
          </w:rPr>
          <w:t>Volt Europa — programme électoral 2024</w:t>
        </w:r>
      </w:hyperlink>
      <w:r>
        <w:rPr>
          <w:rFonts w:ascii="Calibri" w:hAnsi="Calibri"/>
          <w:color w:val="66616F"/>
          <w:sz w:val="18"/>
        </w:rPr>
        <w:t xml:space="preserve"> — https://volteuropa.org/storage/pdf/eu-elections-2024/volt-eur-electoral-moonshot-program.pdf</w:t>
      </w:r>
    </w:p>
    <w:p>
      <w:pPr>
        <w:spacing w:after="100"/>
      </w:pPr>
      <w:hyperlink r:id="rId14">
        <w:r>
          <w:rPr>
            <w:color w:val="D86A0B"/>
            <w:u w:val="single"/>
          </w:rPr>
          <w:t>Équinoxe — programme</w:t>
        </w:r>
      </w:hyperlink>
      <w:r>
        <w:rPr>
          <w:rFonts w:ascii="Calibri" w:hAnsi="Calibri"/>
          <w:color w:val="66616F"/>
          <w:sz w:val="18"/>
        </w:rPr>
        <w:t xml:space="preserve"> — https://parti-equinoxe.fr/programme/</w:t>
      </w:r>
    </w:p>
    <w:p>
      <w:pPr>
        <w:spacing w:after="100"/>
      </w:pPr>
      <w:hyperlink r:id="rId15">
        <w:r>
          <w:rPr>
            <w:color w:val="D86A0B"/>
            <w:u w:val="single"/>
          </w:rPr>
          <w:t>La France Humaniste — projet politique</w:t>
        </w:r>
      </w:hyperlink>
      <w:r>
        <w:rPr>
          <w:rFonts w:ascii="Calibri" w:hAnsi="Calibri"/>
          <w:color w:val="66616F"/>
          <w:sz w:val="18"/>
        </w:rPr>
        <w:t xml:space="preserve"> — https://lafrancehumaniste.fr/</w:t>
      </w:r>
    </w:p>
    <w:p>
      <w:pPr>
        <w:spacing w:after="100"/>
      </w:pPr>
      <w:hyperlink r:id="rId16">
        <w:r>
          <w:rPr>
            <w:color w:val="D86A0B"/>
            <w:u w:val="single"/>
          </w:rPr>
          <w:t>PRG — projet national en 42 propositions</w:t>
        </w:r>
      </w:hyperlink>
      <w:r>
        <w:rPr>
          <w:rFonts w:ascii="Calibri" w:hAnsi="Calibri"/>
          <w:color w:val="66616F"/>
          <w:sz w:val="18"/>
        </w:rPr>
        <w:t xml:space="preserve"> — https://www.partiradicaldegauche.fr/wp-content/uploads/2022/05/V6-Apre%CC%80s-la-crise-du-Covid19-Pour-des-lendemains-qui-changent-.pdf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right"/>
    </w:pPr>
    <w:r>
      <w:rPr>
        <w:rFonts w:ascii="Calibri" w:hAnsi="Calibri"/>
        <w:color w:val="66616F"/>
        <w:sz w:val="18"/>
      </w:rPr>
      <w:t xml:space="preserve">Page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color w:val="66616F"/>
        <w:sz w:val="18"/>
      </w:rPr>
      <w:t>Analyse/27 — Synthèse des cinq référentiels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7171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D86A0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D86A0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71717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european-pirateparty.eu/common-european-election-programme-2024/" TargetMode="External"/><Relationship Id="rId13" Type="http://schemas.openxmlformats.org/officeDocument/2006/relationships/hyperlink" Target="https://volteuropa.org/storage/pdf/eu-elections-2024/volt-eur-electoral-moonshot-program.pdf" TargetMode="External"/><Relationship Id="rId14" Type="http://schemas.openxmlformats.org/officeDocument/2006/relationships/hyperlink" Target="https://parti-equinoxe.fr/programme/" TargetMode="External"/><Relationship Id="rId15" Type="http://schemas.openxmlformats.org/officeDocument/2006/relationships/hyperlink" Target="https://lafrancehumaniste.fr/" TargetMode="External"/><Relationship Id="rId16" Type="http://schemas.openxmlformats.org/officeDocument/2006/relationships/hyperlink" Target="https://www.partiradicaldegauche.fr/wp-content/uploads/2022/05/V6-Apre%CC%80s-la-crise-du-Covid19-Pour-des-lendemains-qui-changent-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Compatibilité programmatique — Présidentielle 2027</dc:subject>
  <dc:creator>Analyse/27</dc:creator>
  <cp:keywords>présidentielle 2027, compatibilité programmatique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