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80"/>
      </w:pPr>
      <w:r>
        <w:rPr>
          <w:rFonts w:ascii="Arial" w:hAnsi="Arial"/>
          <w:b/>
          <w:color w:val="502379"/>
          <w:sz w:val="15"/>
        </w:rPr>
        <w:t>PRÉSIDENTIELLE 2027</w:t>
      </w:r>
    </w:p>
    <w:p>
      <w:pPr>
        <w:spacing w:after="60"/>
      </w:pPr>
      <w:r>
        <w:rPr>
          <w:rFonts w:ascii="Arial" w:hAnsi="Arial"/>
          <w:b/>
          <w:color w:val="171918"/>
          <w:sz w:val="56"/>
        </w:rPr>
        <w:t>Compatibilité</w:t>
        <w:br/>
        <w:t>programmatique</w:t>
      </w:r>
    </w:p>
    <w:p>
      <w:pPr>
        <w:spacing w:after="120"/>
      </w:pPr>
      <w:r>
        <w:rPr>
          <w:rFonts w:ascii="Arial" w:hAnsi="Arial"/>
          <w:color w:val="6C6A66"/>
          <w:sz w:val="24"/>
        </w:rPr>
        <w:t>des principales candidatures avec le référentiel de Volt</w:t>
      </w:r>
    </w:p>
    <w:p>
      <w:pPr>
        <w:spacing w:after="140"/>
      </w:pPr>
      <w:r>
        <w:rPr>
          <w:rFonts w:ascii="Arial" w:hAnsi="Arial"/>
          <w:b/>
          <w:color w:val="502379"/>
          <w:sz w:val="17"/>
        </w:rPr>
        <w:t>10 candidats  ·  10 axes notés directement sur 10  ·  100 points</w:t>
      </w:r>
    </w:p>
    <w:p>
      <w:pPr>
        <w:spacing w:after="100"/>
        <w:jc w:val="center"/>
      </w:pPr>
      <w:r>
        <w:drawing>
          <wp:inline xmlns:a="http://schemas.openxmlformats.org/drawingml/2006/main" xmlns:pic="http://schemas.openxmlformats.org/drawingml/2006/picture">
            <wp:extent cx="5760720" cy="4320540"/>
            <wp:docPr id="1" name="Picture 1"/>
            <wp:cNvGraphicFramePr>
              <a:graphicFrameLocks noChangeAspect="1"/>
            </wp:cNvGraphicFramePr>
            <a:graphic>
              <a:graphicData uri="http://schemas.openxmlformats.org/drawingml/2006/picture">
                <pic:pic>
                  <pic:nvPicPr>
                    <pic:cNvPr id="0" name="cover.png"/>
                    <pic:cNvPicPr/>
                  </pic:nvPicPr>
                  <pic:blipFill>
                    <a:blip r:embed="rId11"/>
                    <a:stretch>
                      <a:fillRect/>
                    </a:stretch>
                  </pic:blipFill>
                  <pic:spPr>
                    <a:xfrm>
                      <a:off x="0" y="0"/>
                      <a:ext cx="5760720" cy="4320540"/>
                    </a:xfrm>
                    <a:prstGeom prst="rect"/>
                  </pic:spPr>
                </pic:pic>
              </a:graphicData>
            </a:graphic>
          </wp:inline>
        </w:drawing>
      </w:r>
    </w:p>
    <w:tbl>
      <w:tblPr>
        <w:tblW w:type="dxa" w:w="9240"/>
        <w:tblLayout w:type="fixed"/>
        <w:tblLook w:firstColumn="1" w:firstRow="1" w:lastColumn="0" w:lastRow="0" w:noHBand="0" w:noVBand="1" w:val="04A0"/>
        <w:tblInd w:w="120" w:type="dxa"/>
      </w:tblPr>
      <w:tblGrid>
        <w:gridCol w:w="9240"/>
      </w:tblGrid>
      <w:tr>
        <w:tc>
          <w:tcPr>
            <w:tcW w:type="dxa" w:w="9240"/>
            <w:shd w:fill="F8F3E9"/>
            <w:tcMar>
              <w:top w:w="115" w:type="dxa"/>
              <w:start w:w="140" w:type="dxa"/>
              <w:bottom w:w="115" w:type="dxa"/>
              <w:end w:w="140" w:type="dxa"/>
            </w:tcMar>
            <w:tcBorders>
              <w:top w:val="single" w:sz="8" w:color="502379"/>
              <w:start w:val="single" w:sz="8" w:color="502379"/>
              <w:bottom w:val="single" w:sz="8" w:color="502379"/>
              <w:end w:val="single" w:sz="8" w:color="502379"/>
            </w:tcBorders>
          </w:tcPr>
          <w:p>
            <w:pPr>
              <w:spacing w:after="40"/>
            </w:pPr>
            <w:r>
              <w:rPr>
                <w:rFonts w:ascii="Arial" w:hAnsi="Arial"/>
                <w:b/>
                <w:color w:val="502379"/>
                <w:sz w:val="18"/>
              </w:rPr>
              <w:t>Analyse indépendante</w:t>
            </w:r>
          </w:p>
          <w:p>
            <w:pPr>
              <w:spacing w:after="0"/>
            </w:pPr>
            <w:r>
              <w:rPr>
                <w:rFonts w:ascii="Arial" w:hAnsi="Arial"/>
                <w:color w:val="171918"/>
                <w:sz w:val="16"/>
              </w:rPr>
              <w:t>Photographie documentaire arrêtée au 30 juillet 2026. Version du 30 juillet 2026. Le score mesure une proximité avec le référentiel retenu ; il n’évalue pas globalement les personnes. Ce document n’est ni une publication officielle de Volt ni une consigne de vote.</w:t>
            </w:r>
          </w:p>
        </w:tc>
      </w:tr>
    </w:tbl>
    <w:p>
      <w:pPr>
        <w:spacing w:after="0" w:before="0"/>
      </w:pPr>
    </w:p>
    <w:p>
      <w:r>
        <w:br w:type="page"/>
      </w:r>
    </w:p>
    <w:p>
      <w:pPr>
        <w:spacing w:before="0" w:after="40"/>
      </w:pPr>
      <w:r>
        <w:rPr>
          <w:rFonts w:ascii="Arial" w:hAnsi="Arial"/>
          <w:b/>
          <w:color w:val="502379"/>
          <w:sz w:val="15"/>
        </w:rPr>
        <w:t>VUE D’ENSEMBLE</w:t>
      </w:r>
    </w:p>
    <w:p>
      <w:pPr>
        <w:pStyle w:val="Title"/>
        <w:spacing w:after="100"/>
        <w:pBdr>
          <w:bottom w:val="single" w:sz="8" w:space="3" w:color="502379"/>
        </w:pBdr>
      </w:pPr>
      <w:r>
        <w:rPr>
          <w:rFonts w:ascii="Arial" w:hAnsi="Arial"/>
          <w:b/>
          <w:color w:val="171918"/>
          <w:sz w:val="52"/>
        </w:rPr>
        <w:t>Résultats en un coup d’œil</w:t>
      </w:r>
    </w:p>
    <w:p>
      <w:pPr>
        <w:spacing w:after="140"/>
      </w:pPr>
      <w:r>
        <w:rPr>
          <w:rFonts w:ascii="Arial" w:hAnsi="Arial"/>
          <w:color w:val="6C6A66"/>
          <w:sz w:val="19"/>
        </w:rPr>
        <w:t>Classement issu de l’addition des dix notes argumentées, sans pondération cachée.</w:t>
      </w:r>
    </w:p>
    <w:p>
      <w:pPr>
        <w:spacing w:after="0"/>
        <w:jc w:val="center"/>
      </w:pPr>
      <w:r>
        <w:drawing>
          <wp:inline xmlns:a="http://schemas.openxmlformats.org/drawingml/2006/main" xmlns:pic="http://schemas.openxmlformats.org/drawingml/2006/picture">
            <wp:extent cx="4114800" cy="7315200"/>
            <wp:docPr id="2" name="Picture 2"/>
            <wp:cNvGraphicFramePr>
              <a:graphicFrameLocks noChangeAspect="1"/>
            </wp:cNvGraphicFramePr>
            <a:graphic>
              <a:graphicData uri="http://schemas.openxmlformats.org/drawingml/2006/picture">
                <pic:pic>
                  <pic:nvPicPr>
                    <pic:cNvPr id="0" name="ranking.png"/>
                    <pic:cNvPicPr/>
                  </pic:nvPicPr>
                  <pic:blipFill>
                    <a:blip r:embed="rId12"/>
                    <a:stretch>
                      <a:fillRect/>
                    </a:stretch>
                  </pic:blipFill>
                  <pic:spPr>
                    <a:xfrm>
                      <a:off x="0" y="0"/>
                      <a:ext cx="4114800" cy="7315200"/>
                    </a:xfrm>
                    <a:prstGeom prst="rect"/>
                  </pic:spPr>
                </pic:pic>
              </a:graphicData>
            </a:graphic>
          </wp:inline>
        </w:drawing>
      </w:r>
    </w:p>
    <w:p>
      <w:r>
        <w:br w:type="page"/>
      </w:r>
    </w:p>
    <w:p>
      <w:pPr>
        <w:spacing w:before="0" w:after="40"/>
      </w:pPr>
      <w:r>
        <w:rPr>
          <w:rFonts w:ascii="Arial" w:hAnsi="Arial"/>
          <w:b/>
          <w:color w:val="502379"/>
          <w:sz w:val="15"/>
        </w:rPr>
        <w:t>MÉTHODE</w:t>
      </w:r>
    </w:p>
    <w:p>
      <w:pPr>
        <w:pStyle w:val="Title"/>
        <w:spacing w:after="100"/>
        <w:pBdr>
          <w:bottom w:val="single" w:sz="8" w:space="3" w:color="502379"/>
        </w:pBdr>
      </w:pPr>
      <w:r>
        <w:rPr>
          <w:rFonts w:ascii="Arial" w:hAnsi="Arial"/>
          <w:b/>
          <w:color w:val="171918"/>
          <w:sz w:val="52"/>
        </w:rPr>
        <w:t>Comment les notes sont construites</w:t>
      </w:r>
    </w:p>
    <w:p>
      <w:pPr>
        <w:spacing w:after="140"/>
      </w:pPr>
      <w:r>
        <w:rPr>
          <w:rFonts w:ascii="Arial" w:hAnsi="Arial"/>
          <w:color w:val="6C6A66"/>
          <w:sz w:val="19"/>
        </w:rPr>
        <w:t>Les dix axes reprennent les lignes structurantes du programme Moonshot de Volt : fédéralisme européen, démocratie, défense et Ukraine, économie d’innovation, climat et énergie, mobilités et ressources, Europe sociale, migration, numérique ouvert et multilatéralisme.</w:t>
      </w:r>
    </w:p>
    <w:tbl>
      <w:tblPr>
        <w:tblW w:type="dxa" w:w="9240"/>
        <w:tblLayout w:type="fixed"/>
        <w:tblLook w:firstColumn="1" w:firstRow="1" w:lastColumn="0" w:lastRow="0" w:noHBand="0" w:noVBand="1" w:val="04A0"/>
        <w:tblInd w:w="120" w:type="dxa"/>
      </w:tblPr>
      <w:tblGrid>
        <w:gridCol w:w="1320"/>
        <w:gridCol w:w="7920"/>
      </w:tblGrid>
      <w:tr>
        <w:trPr>
          <w:tblHeader w:val="true"/>
        </w:trPr>
        <w:tc>
          <w:tcPr>
            <w:tcW w:type="dxa" w:w="1320"/>
            <w:shd w:fill="171918"/>
            <w:tcMar>
              <w:top w:w="70" w:type="dxa"/>
              <w:start w:w="120" w:type="dxa"/>
              <w:bottom w:w="70" w:type="dxa"/>
              <w:end w:w="120" w:type="dxa"/>
            </w:tcMar>
            <w:vAlign w:val="center"/>
          </w:tcPr>
          <w:p>
            <w:pPr>
              <w:jc w:val="center"/>
            </w:pPr>
            <w:r>
              <w:rPr>
                <w:rFonts w:ascii="Arial" w:hAnsi="Arial"/>
                <w:b/>
                <w:color w:val="FFFFFF"/>
                <w:sz w:val="17"/>
              </w:rPr>
              <w:t>Note</w:t>
            </w:r>
          </w:p>
        </w:tc>
        <w:tc>
          <w:tcPr>
            <w:tcW w:type="dxa" w:w="7920"/>
            <w:shd w:fill="171918"/>
            <w:tcMar>
              <w:top w:w="70" w:type="dxa"/>
              <w:start w:w="120" w:type="dxa"/>
              <w:bottom w:w="70" w:type="dxa"/>
              <w:end w:w="120" w:type="dxa"/>
            </w:tcMar>
            <w:vAlign w:val="center"/>
          </w:tcPr>
          <w:p>
            <w:pPr>
              <w:jc w:val="left"/>
            </w:pPr>
            <w:r>
              <w:rPr>
                <w:rFonts w:ascii="Arial" w:hAnsi="Arial"/>
                <w:b/>
                <w:color w:val="FFFFFF"/>
                <w:sz w:val="17"/>
              </w:rPr>
              <w:t>Interprétation</w:t>
            </w:r>
          </w:p>
        </w:tc>
      </w:tr>
      <w:tr>
        <w:tc>
          <w:tcPr>
            <w:tcW w:type="dxa" w:w="1320"/>
            <w:shd w:fill="FFFDF9"/>
            <w:tcMar>
              <w:top w:w="65" w:type="dxa"/>
              <w:start w:w="120" w:type="dxa"/>
              <w:bottom w:w="65" w:type="dxa"/>
              <w:end w:w="120" w:type="dxa"/>
            </w:tcMar>
            <w:vAlign w:val="center"/>
            <w:tcBorders>
              <w:bottom w:val="single" w:sz="4" w:color="D9D3C7"/>
            </w:tcBorders>
          </w:tcPr>
          <w:p>
            <w:pPr>
              <w:jc w:val="center"/>
            </w:pPr>
            <w:r>
              <w:rPr>
                <w:rFonts w:ascii="Arial" w:hAnsi="Arial"/>
                <w:b/>
                <w:color w:val="CC2A1F"/>
                <w:sz w:val="17"/>
              </w:rPr>
              <w:t>0</w:t>
            </w:r>
          </w:p>
        </w:tc>
        <w:tc>
          <w:tcPr>
            <w:tcW w:type="dxa" w:w="7920"/>
            <w:shd w:fill="FFFDF9"/>
            <w:tcMar>
              <w:top w:w="65" w:type="dxa"/>
              <w:start w:w="120" w:type="dxa"/>
              <w:bottom w:w="65" w:type="dxa"/>
              <w:end w:w="120" w:type="dxa"/>
            </w:tcMar>
            <w:vAlign w:val="center"/>
            <w:tcBorders>
              <w:bottom w:val="single" w:sz="4" w:color="D9D3C7"/>
            </w:tcBorders>
          </w:tcPr>
          <w:p>
            <w:r>
              <w:rPr>
                <w:rFonts w:ascii="Arial" w:hAnsi="Arial"/>
                <w:color w:val="171918"/>
                <w:sz w:val="17"/>
              </w:rPr>
              <w:t>Opposition complète</w:t>
            </w:r>
          </w:p>
        </w:tc>
      </w:tr>
      <w:tr>
        <w:tc>
          <w:tcPr>
            <w:tcW w:type="dxa" w:w="1320"/>
            <w:shd w:fill="F1ECE2"/>
            <w:tcMar>
              <w:top w:w="65" w:type="dxa"/>
              <w:start w:w="120" w:type="dxa"/>
              <w:bottom w:w="65" w:type="dxa"/>
              <w:end w:w="120" w:type="dxa"/>
            </w:tcMar>
            <w:vAlign w:val="center"/>
            <w:tcBorders>
              <w:bottom w:val="single" w:sz="4" w:color="D9D3C7"/>
            </w:tcBorders>
          </w:tcPr>
          <w:p>
            <w:pPr>
              <w:jc w:val="center"/>
            </w:pPr>
            <w:r>
              <w:rPr>
                <w:rFonts w:ascii="Arial" w:hAnsi="Arial"/>
                <w:b/>
                <w:color w:val="CC2A1F"/>
                <w:sz w:val="17"/>
              </w:rPr>
              <w:t>1–2</w:t>
            </w:r>
          </w:p>
        </w:tc>
        <w:tc>
          <w:tcPr>
            <w:tcW w:type="dxa" w:w="7920"/>
            <w:shd w:fill="F1ECE2"/>
            <w:tcMar>
              <w:top w:w="65" w:type="dxa"/>
              <w:start w:w="120" w:type="dxa"/>
              <w:bottom w:w="65" w:type="dxa"/>
              <w:end w:w="120" w:type="dxa"/>
            </w:tcMar>
            <w:vAlign w:val="center"/>
            <w:tcBorders>
              <w:bottom w:val="single" w:sz="4" w:color="D9D3C7"/>
            </w:tcBorders>
          </w:tcPr>
          <w:p>
            <w:r>
              <w:rPr>
                <w:rFonts w:ascii="Arial" w:hAnsi="Arial"/>
                <w:color w:val="171918"/>
                <w:sz w:val="17"/>
              </w:rPr>
              <w:t>Très faible compatibilité</w:t>
            </w:r>
          </w:p>
        </w:tc>
      </w:tr>
      <w:tr>
        <w:tc>
          <w:tcPr>
            <w:tcW w:type="dxa" w:w="1320"/>
            <w:shd w:fill="FFFDF9"/>
            <w:tcMar>
              <w:top w:w="65" w:type="dxa"/>
              <w:start w:w="120" w:type="dxa"/>
              <w:bottom w:w="65" w:type="dxa"/>
              <w:end w:w="120" w:type="dxa"/>
            </w:tcMar>
            <w:vAlign w:val="center"/>
            <w:tcBorders>
              <w:bottom w:val="single" w:sz="4" w:color="D9D3C7"/>
            </w:tcBorders>
          </w:tcPr>
          <w:p>
            <w:pPr>
              <w:jc w:val="center"/>
            </w:pPr>
            <w:r>
              <w:rPr>
                <w:rFonts w:ascii="Arial" w:hAnsi="Arial"/>
                <w:b/>
                <w:color w:val="E65117"/>
                <w:sz w:val="17"/>
              </w:rPr>
              <w:t>3–4</w:t>
            </w:r>
          </w:p>
        </w:tc>
        <w:tc>
          <w:tcPr>
            <w:tcW w:type="dxa" w:w="7920"/>
            <w:shd w:fill="FFFDF9"/>
            <w:tcMar>
              <w:top w:w="65" w:type="dxa"/>
              <w:start w:w="120" w:type="dxa"/>
              <w:bottom w:w="65" w:type="dxa"/>
              <w:end w:w="120" w:type="dxa"/>
            </w:tcMar>
            <w:vAlign w:val="center"/>
            <w:tcBorders>
              <w:bottom w:val="single" w:sz="4" w:color="D9D3C7"/>
            </w:tcBorders>
          </w:tcPr>
          <w:p>
            <w:r>
              <w:rPr>
                <w:rFonts w:ascii="Arial" w:hAnsi="Arial"/>
                <w:color w:val="171918"/>
                <w:sz w:val="17"/>
              </w:rPr>
              <w:t>Plutôt incompatible</w:t>
            </w:r>
          </w:p>
        </w:tc>
      </w:tr>
      <w:tr>
        <w:tc>
          <w:tcPr>
            <w:tcW w:type="dxa" w:w="1320"/>
            <w:shd w:fill="F1ECE2"/>
            <w:tcMar>
              <w:top w:w="65" w:type="dxa"/>
              <w:start w:w="120" w:type="dxa"/>
              <w:bottom w:w="65" w:type="dxa"/>
              <w:end w:w="120" w:type="dxa"/>
            </w:tcMar>
            <w:vAlign w:val="center"/>
            <w:tcBorders>
              <w:bottom w:val="single" w:sz="4" w:color="D9D3C7"/>
            </w:tcBorders>
          </w:tcPr>
          <w:p>
            <w:pPr>
              <w:jc w:val="center"/>
            </w:pPr>
            <w:r>
              <w:rPr>
                <w:rFonts w:ascii="Arial" w:hAnsi="Arial"/>
                <w:b/>
                <w:color w:val="D6A900"/>
                <w:sz w:val="17"/>
              </w:rPr>
              <w:t>5</w:t>
            </w:r>
          </w:p>
        </w:tc>
        <w:tc>
          <w:tcPr>
            <w:tcW w:type="dxa" w:w="7920"/>
            <w:shd w:fill="F1ECE2"/>
            <w:tcMar>
              <w:top w:w="65" w:type="dxa"/>
              <w:start w:w="120" w:type="dxa"/>
              <w:bottom w:w="65" w:type="dxa"/>
              <w:end w:w="120" w:type="dxa"/>
            </w:tcMar>
            <w:vAlign w:val="center"/>
            <w:tcBorders>
              <w:bottom w:val="single" w:sz="4" w:color="D9D3C7"/>
            </w:tcBorders>
          </w:tcPr>
          <w:p>
            <w:r>
              <w:rPr>
                <w:rFonts w:ascii="Arial" w:hAnsi="Arial"/>
                <w:color w:val="171918"/>
                <w:sz w:val="17"/>
              </w:rPr>
              <w:t>Bilan réellement mixte</w:t>
            </w:r>
          </w:p>
        </w:tc>
      </w:tr>
      <w:tr>
        <w:tc>
          <w:tcPr>
            <w:tcW w:type="dxa" w:w="1320"/>
            <w:shd w:fill="FFFDF9"/>
            <w:tcMar>
              <w:top w:w="65" w:type="dxa"/>
              <w:start w:w="120" w:type="dxa"/>
              <w:bottom w:w="65" w:type="dxa"/>
              <w:end w:w="120" w:type="dxa"/>
            </w:tcMar>
            <w:vAlign w:val="center"/>
            <w:tcBorders>
              <w:bottom w:val="single" w:sz="4" w:color="D9D3C7"/>
            </w:tcBorders>
          </w:tcPr>
          <w:p>
            <w:pPr>
              <w:jc w:val="center"/>
            </w:pPr>
            <w:r>
              <w:rPr>
                <w:rFonts w:ascii="Arial" w:hAnsi="Arial"/>
                <w:b/>
                <w:color w:val="D6A900"/>
                <w:sz w:val="17"/>
              </w:rPr>
              <w:t>6–7</w:t>
            </w:r>
          </w:p>
        </w:tc>
        <w:tc>
          <w:tcPr>
            <w:tcW w:type="dxa" w:w="7920"/>
            <w:shd w:fill="FFFDF9"/>
            <w:tcMar>
              <w:top w:w="65" w:type="dxa"/>
              <w:start w:w="120" w:type="dxa"/>
              <w:bottom w:w="65" w:type="dxa"/>
              <w:end w:w="120" w:type="dxa"/>
            </w:tcMar>
            <w:vAlign w:val="center"/>
            <w:tcBorders>
              <w:bottom w:val="single" w:sz="4" w:color="D9D3C7"/>
            </w:tcBorders>
          </w:tcPr>
          <w:p>
            <w:r>
              <w:rPr>
                <w:rFonts w:ascii="Arial" w:hAnsi="Arial"/>
                <w:color w:val="171918"/>
                <w:sz w:val="17"/>
              </w:rPr>
              <w:t>Plutôt compatible</w:t>
            </w:r>
          </w:p>
        </w:tc>
      </w:tr>
      <w:tr>
        <w:tc>
          <w:tcPr>
            <w:tcW w:type="dxa" w:w="1320"/>
            <w:shd w:fill="F1ECE2"/>
            <w:tcMar>
              <w:top w:w="65" w:type="dxa"/>
              <w:start w:w="120" w:type="dxa"/>
              <w:bottom w:w="65" w:type="dxa"/>
              <w:end w:w="120" w:type="dxa"/>
            </w:tcMar>
            <w:vAlign w:val="center"/>
            <w:tcBorders>
              <w:bottom w:val="single" w:sz="4" w:color="D9D3C7"/>
            </w:tcBorders>
          </w:tcPr>
          <w:p>
            <w:pPr>
              <w:jc w:val="center"/>
            </w:pPr>
            <w:r>
              <w:rPr>
                <w:rFonts w:ascii="Arial" w:hAnsi="Arial"/>
                <w:b/>
                <w:color w:val="719A39"/>
                <w:sz w:val="17"/>
              </w:rPr>
              <w:t>8–9</w:t>
            </w:r>
          </w:p>
        </w:tc>
        <w:tc>
          <w:tcPr>
            <w:tcW w:type="dxa" w:w="7920"/>
            <w:shd w:fill="F1ECE2"/>
            <w:tcMar>
              <w:top w:w="65" w:type="dxa"/>
              <w:start w:w="120" w:type="dxa"/>
              <w:bottom w:w="65" w:type="dxa"/>
              <w:end w:w="120" w:type="dxa"/>
            </w:tcMar>
            <w:vAlign w:val="center"/>
            <w:tcBorders>
              <w:bottom w:val="single" w:sz="4" w:color="D9D3C7"/>
            </w:tcBorders>
          </w:tcPr>
          <w:p>
            <w:r>
              <w:rPr>
                <w:rFonts w:ascii="Arial" w:hAnsi="Arial"/>
                <w:color w:val="171918"/>
                <w:sz w:val="17"/>
              </w:rPr>
              <w:t>Forte compatibilité</w:t>
            </w:r>
          </w:p>
        </w:tc>
      </w:tr>
      <w:tr>
        <w:tc>
          <w:tcPr>
            <w:tcW w:type="dxa" w:w="1320"/>
            <w:shd w:fill="FFFDF9"/>
            <w:tcMar>
              <w:top w:w="65" w:type="dxa"/>
              <w:start w:w="120" w:type="dxa"/>
              <w:bottom w:w="65" w:type="dxa"/>
              <w:end w:w="120" w:type="dxa"/>
            </w:tcMar>
            <w:vAlign w:val="center"/>
            <w:tcBorders>
              <w:bottom w:val="single" w:sz="4" w:color="D9D3C7"/>
            </w:tcBorders>
          </w:tcPr>
          <w:p>
            <w:pPr>
              <w:jc w:val="center"/>
            </w:pPr>
            <w:r>
              <w:rPr>
                <w:rFonts w:ascii="Arial" w:hAnsi="Arial"/>
                <w:b/>
                <w:color w:val="2E8B57"/>
                <w:sz w:val="17"/>
              </w:rPr>
              <w:t>10</w:t>
            </w:r>
          </w:p>
        </w:tc>
        <w:tc>
          <w:tcPr>
            <w:tcW w:type="dxa" w:w="7920"/>
            <w:shd w:fill="FFFDF9"/>
            <w:tcMar>
              <w:top w:w="65" w:type="dxa"/>
              <w:start w:w="120" w:type="dxa"/>
              <w:bottom w:w="65" w:type="dxa"/>
              <w:end w:w="120" w:type="dxa"/>
            </w:tcMar>
            <w:vAlign w:val="center"/>
            <w:tcBorders>
              <w:bottom w:val="single" w:sz="4" w:color="D9D3C7"/>
            </w:tcBorders>
          </w:tcPr>
          <w:p>
            <w:r>
              <w:rPr>
                <w:rFonts w:ascii="Arial" w:hAnsi="Arial"/>
                <w:color w:val="171918"/>
                <w:sz w:val="17"/>
              </w:rPr>
              <w:t>Compatibilité complète</w:t>
            </w:r>
          </w:p>
        </w:tc>
      </w:tr>
    </w:tbl>
    <w:p>
      <w:pPr>
        <w:spacing w:after="20"/>
      </w:pPr>
    </w:p>
    <w:tbl>
      <w:tblPr>
        <w:tblW w:type="dxa" w:w="9240"/>
        <w:tblLayout w:type="fixed"/>
        <w:tblLook w:firstColumn="1" w:firstRow="1" w:lastColumn="0" w:lastRow="0" w:noHBand="0" w:noVBand="1" w:val="04A0"/>
        <w:tblInd w:w="120" w:type="dxa"/>
      </w:tblPr>
      <w:tblGrid>
        <w:gridCol w:w="9240"/>
      </w:tblGrid>
      <w:tr>
        <w:tc>
          <w:tcPr>
            <w:tcW w:type="dxa" w:w="9240"/>
            <w:shd w:fill="FFF8D8"/>
            <w:tcMar>
              <w:top w:w="115" w:type="dxa"/>
              <w:start w:w="140" w:type="dxa"/>
              <w:bottom w:w="115" w:type="dxa"/>
              <w:end w:w="140" w:type="dxa"/>
            </w:tcMar>
            <w:tcBorders>
              <w:top w:val="single" w:sz="8" w:color="502379"/>
              <w:start w:val="single" w:sz="8" w:color="502379"/>
              <w:bottom w:val="single" w:sz="8" w:color="502379"/>
              <w:end w:val="single" w:sz="8" w:color="502379"/>
            </w:tcBorders>
          </w:tcPr>
          <w:p>
            <w:pPr>
              <w:spacing w:after="40"/>
            </w:pPr>
            <w:r>
              <w:rPr>
                <w:rFonts w:ascii="Arial" w:hAnsi="Arial"/>
                <w:b/>
                <w:color w:val="502379"/>
                <w:sz w:val="18"/>
              </w:rPr>
              <w:t>Calcul</w:t>
            </w:r>
          </w:p>
          <w:p>
            <w:pPr>
              <w:spacing w:after="0"/>
            </w:pPr>
            <w:r>
              <w:rPr>
                <w:rFonts w:ascii="Arial" w:hAnsi="Arial"/>
                <w:color w:val="171918"/>
                <w:sz w:val="16"/>
              </w:rPr>
              <w:t>Chaque axe reçoit directement une note entière de 0 à 10. Les dix axes ont le même poids ; leur somme donne le total sur 100. Un écart de 1 ou 2 points ne doit pas être interprété comme une différence décisive.</w:t>
            </w:r>
          </w:p>
        </w:tc>
      </w:tr>
    </w:tbl>
    <w:p>
      <w:pPr>
        <w:spacing w:after="0" w:before="0"/>
      </w:pPr>
    </w:p>
    <w:tbl>
      <w:tblPr>
        <w:tblW w:type="dxa" w:w="9240"/>
        <w:tblLayout w:type="fixed"/>
        <w:tblLook w:firstColumn="1" w:firstRow="1" w:lastColumn="0" w:lastRow="0" w:noHBand="0" w:noVBand="1" w:val="04A0"/>
        <w:tblInd w:w="120" w:type="dxa"/>
      </w:tblPr>
      <w:tblGrid>
        <w:gridCol w:w="9240"/>
      </w:tblGrid>
      <w:tr>
        <w:tc>
          <w:tcPr>
            <w:tcW w:type="dxa" w:w="9240"/>
            <w:shd w:fill="EAF6F0"/>
            <w:tcMar>
              <w:top w:w="115" w:type="dxa"/>
              <w:start w:w="140" w:type="dxa"/>
              <w:bottom w:w="115" w:type="dxa"/>
              <w:end w:w="140" w:type="dxa"/>
            </w:tcMar>
            <w:tcBorders>
              <w:top w:val="single" w:sz="8" w:color="502379"/>
              <w:start w:val="single" w:sz="8" w:color="502379"/>
              <w:bottom w:val="single" w:sz="8" w:color="502379"/>
              <w:end w:val="single" w:sz="8" w:color="502379"/>
            </w:tcBorders>
          </w:tcPr>
          <w:p>
            <w:pPr>
              <w:spacing w:after="40"/>
            </w:pPr>
            <w:r>
              <w:rPr>
                <w:rFonts w:ascii="Arial" w:hAnsi="Arial"/>
                <w:b/>
                <w:color w:val="502379"/>
                <w:sz w:val="18"/>
              </w:rPr>
              <w:t>Robustesse documentaire séparée du score</w:t>
            </w:r>
          </w:p>
          <w:p>
            <w:pPr>
              <w:spacing w:after="0"/>
            </w:pPr>
            <w:r>
              <w:rPr>
                <w:rFonts w:ascii="Arial" w:hAnsi="Arial"/>
                <w:color w:val="171918"/>
                <w:sz w:val="16"/>
              </w:rPr>
              <w:t>Une documentation incomplète n’est ni assimilée à une opposition ni convertie mécaniquement en 5/10. Elle limite la note possible et est signalée séparément.</w:t>
            </w:r>
          </w:p>
        </w:tc>
      </w:tr>
    </w:tbl>
    <w:p>
      <w:pPr>
        <w:spacing w:after="0" w:before="0"/>
      </w:pPr>
    </w:p>
    <w:p>
      <w:r>
        <w:br w:type="page"/>
      </w:r>
    </w:p>
    <w:p>
      <w:pPr>
        <w:spacing w:before="0" w:after="40"/>
      </w:pPr>
      <w:r>
        <w:rPr>
          <w:rFonts w:ascii="Arial" w:hAnsi="Arial"/>
          <w:b/>
          <w:color w:val="502379"/>
          <w:sz w:val="15"/>
        </w:rPr>
        <w:t>RÉFÉRENTIEL</w:t>
      </w:r>
    </w:p>
    <w:p>
      <w:pPr>
        <w:pStyle w:val="Title"/>
        <w:spacing w:after="100"/>
        <w:pBdr>
          <w:bottom w:val="single" w:sz="8" w:space="3" w:color="502379"/>
        </w:pBdr>
      </w:pPr>
      <w:r>
        <w:rPr>
          <w:rFonts w:ascii="Arial" w:hAnsi="Arial"/>
          <w:b/>
          <w:color w:val="171918"/>
          <w:sz w:val="52"/>
        </w:rPr>
        <w:t>Les dix axes Volt</w:t>
      </w:r>
    </w:p>
    <w:p>
      <w:pPr>
        <w:spacing w:after="140"/>
      </w:pPr>
      <w:r>
        <w:rPr>
          <w:rFonts w:ascii="Arial" w:hAnsi="Arial"/>
          <w:color w:val="6C6A66"/>
          <w:sz w:val="19"/>
        </w:rPr>
        <w:t>Chaque axe est apprécié globalement sur 10 et reçoit le même poids.</w:t>
      </w:r>
    </w:p>
    <w:tbl>
      <w:tblPr>
        <w:tblW w:type="dxa" w:w="9240"/>
        <w:tblLayout w:type="fixed"/>
        <w:tblLook w:firstColumn="1" w:firstRow="1" w:lastColumn="0" w:lastRow="0" w:noHBand="0" w:noVBand="1" w:val="04A0"/>
        <w:tblInd w:w="120" w:type="dxa"/>
      </w:tblPr>
      <w:tblGrid>
        <w:gridCol w:w="600"/>
        <w:gridCol w:w="3000"/>
        <w:gridCol w:w="5640"/>
      </w:tblGrid>
      <w:tr>
        <w:trPr>
          <w:tblHeader w:val="true"/>
        </w:trPr>
        <w:tc>
          <w:tcPr>
            <w:tcW w:type="dxa" w:w="600"/>
            <w:shd w:fill="171918"/>
            <w:tcMar>
              <w:top w:w="75" w:type="dxa"/>
              <w:start w:w="120" w:type="dxa"/>
              <w:bottom w:w="75" w:type="dxa"/>
              <w:end w:w="120" w:type="dxa"/>
            </w:tcMar>
            <w:vAlign w:val="center"/>
          </w:tcPr>
          <w:p>
            <w:pPr>
              <w:jc w:val="center"/>
            </w:pPr>
            <w:r>
              <w:rPr>
                <w:rFonts w:ascii="Arial" w:hAnsi="Arial"/>
                <w:b/>
                <w:color w:val="FFFFFF"/>
                <w:sz w:val="16"/>
              </w:rPr>
              <w:t>#</w:t>
            </w:r>
          </w:p>
        </w:tc>
        <w:tc>
          <w:tcPr>
            <w:tcW w:type="dxa" w:w="3000"/>
            <w:shd w:fill="171918"/>
            <w:tcMar>
              <w:top w:w="75" w:type="dxa"/>
              <w:start w:w="120" w:type="dxa"/>
              <w:bottom w:w="75" w:type="dxa"/>
              <w:end w:w="120" w:type="dxa"/>
            </w:tcMar>
            <w:vAlign w:val="center"/>
          </w:tcPr>
          <w:p>
            <w:pPr>
              <w:jc w:val="center"/>
            </w:pPr>
            <w:r>
              <w:rPr>
                <w:rFonts w:ascii="Arial" w:hAnsi="Arial"/>
                <w:b/>
                <w:color w:val="FFFFFF"/>
                <w:sz w:val="16"/>
              </w:rPr>
              <w:t>Axe</w:t>
            </w:r>
          </w:p>
        </w:tc>
        <w:tc>
          <w:tcPr>
            <w:tcW w:type="dxa" w:w="5640"/>
            <w:shd w:fill="171918"/>
            <w:tcMar>
              <w:top w:w="75" w:type="dxa"/>
              <w:start w:w="120" w:type="dxa"/>
              <w:bottom w:w="75" w:type="dxa"/>
              <w:end w:w="120" w:type="dxa"/>
            </w:tcMar>
            <w:vAlign w:val="center"/>
          </w:tcPr>
          <w:p>
            <w:pPr>
              <w:jc w:val="center"/>
            </w:pPr>
            <w:r>
              <w:rPr>
                <w:rFonts w:ascii="Arial" w:hAnsi="Arial"/>
                <w:b/>
                <w:color w:val="FFFFFF"/>
                <w:sz w:val="16"/>
              </w:rPr>
              <w:t>Éléments examinés</w:t>
            </w:r>
          </w:p>
        </w:tc>
      </w:tr>
      <w:tr>
        <w:tc>
          <w:tcPr>
            <w:tcW w:type="dxa" w:w="600"/>
            <w:shd w:fill="FFFDF9"/>
            <w:tcMar>
              <w:top w:w="70" w:type="dxa"/>
              <w:start w:w="90" w:type="dxa"/>
              <w:bottom w:w="70" w:type="dxa"/>
              <w:end w:w="90" w:type="dxa"/>
            </w:tcMar>
            <w:vAlign w:val="center"/>
            <w:tcBorders>
              <w:bottom w:val="single" w:sz="4" w:color="D9D3C7"/>
            </w:tcBorders>
          </w:tcPr>
          <w:p>
            <w:pPr>
              <w:jc w:val="center"/>
            </w:pPr>
            <w:r>
              <w:rPr>
                <w:rFonts w:ascii="Arial" w:hAnsi="Arial"/>
                <w:b w:val="0"/>
                <w:color w:val="502379"/>
                <w:sz w:val="15"/>
              </w:rPr>
              <w:t>1</w:t>
            </w:r>
          </w:p>
        </w:tc>
        <w:tc>
          <w:tcPr>
            <w:tcW w:type="dxa" w:w="3000"/>
            <w:shd w:fill="FFFDF9"/>
            <w:tcMar>
              <w:top w:w="70" w:type="dxa"/>
              <w:start w:w="90" w:type="dxa"/>
              <w:bottom w:w="70" w:type="dxa"/>
              <w:end w:w="90" w:type="dxa"/>
            </w:tcMar>
            <w:vAlign w:val="center"/>
            <w:tcBorders>
              <w:bottom w:val="single" w:sz="4" w:color="D9D3C7"/>
            </w:tcBorders>
          </w:tcPr>
          <w:p>
            <w:pPr>
              <w:jc w:val="center"/>
            </w:pPr>
            <w:r>
              <w:rPr>
                <w:rFonts w:ascii="Arial" w:hAnsi="Arial"/>
                <w:b/>
                <w:color w:val="171918"/>
                <w:sz w:val="15"/>
              </w:rPr>
              <w:t>Europe fédérale et institutions</w:t>
            </w:r>
          </w:p>
        </w:tc>
        <w:tc>
          <w:tcPr>
            <w:tcW w:type="dxa" w:w="5640"/>
            <w:shd w:fill="FFFDF9"/>
            <w:tcMar>
              <w:top w:w="70" w:type="dxa"/>
              <w:start w:w="90" w:type="dxa"/>
              <w:bottom w:w="70" w:type="dxa"/>
              <w:end w:w="90" w:type="dxa"/>
            </w:tcMar>
            <w:vAlign w:val="center"/>
            <w:tcBorders>
              <w:bottom w:val="single" w:sz="4" w:color="D9D3C7"/>
            </w:tcBorders>
          </w:tcPr>
          <w:p>
            <w:pPr>
              <w:jc w:val="left"/>
            </w:pPr>
            <w:r>
              <w:rPr>
                <w:rFonts w:ascii="Arial" w:hAnsi="Arial"/>
                <w:b w:val="0"/>
                <w:color w:val="171918"/>
                <w:sz w:val="14"/>
              </w:rPr>
              <w:t>Constitution européenne · Gouvernement européen responsable · Fin du veto · Parlement d’initiative · Partis transnationaux</w:t>
            </w:r>
          </w:p>
        </w:tc>
      </w:tr>
      <w:tr>
        <w:tc>
          <w:tcPr>
            <w:tcW w:type="dxa" w:w="600"/>
            <w:shd w:fill="F1ECE2"/>
            <w:tcMar>
              <w:top w:w="70" w:type="dxa"/>
              <w:start w:w="90" w:type="dxa"/>
              <w:bottom w:w="70" w:type="dxa"/>
              <w:end w:w="90" w:type="dxa"/>
            </w:tcMar>
            <w:vAlign w:val="center"/>
            <w:tcBorders>
              <w:bottom w:val="single" w:sz="4" w:color="D9D3C7"/>
            </w:tcBorders>
          </w:tcPr>
          <w:p>
            <w:pPr>
              <w:jc w:val="center"/>
            </w:pPr>
            <w:r>
              <w:rPr>
                <w:rFonts w:ascii="Arial" w:hAnsi="Arial"/>
                <w:b w:val="0"/>
                <w:color w:val="502379"/>
                <w:sz w:val="15"/>
              </w:rPr>
              <w:t>2</w:t>
            </w:r>
          </w:p>
        </w:tc>
        <w:tc>
          <w:tcPr>
            <w:tcW w:type="dxa" w:w="3000"/>
            <w:shd w:fill="F1ECE2"/>
            <w:tcMar>
              <w:top w:w="70" w:type="dxa"/>
              <w:start w:w="90" w:type="dxa"/>
              <w:bottom w:w="70" w:type="dxa"/>
              <w:end w:w="90" w:type="dxa"/>
            </w:tcMar>
            <w:vAlign w:val="center"/>
            <w:tcBorders>
              <w:bottom w:val="single" w:sz="4" w:color="D9D3C7"/>
            </w:tcBorders>
          </w:tcPr>
          <w:p>
            <w:pPr>
              <w:jc w:val="center"/>
            </w:pPr>
            <w:r>
              <w:rPr>
                <w:rFonts w:ascii="Arial" w:hAnsi="Arial"/>
                <w:b/>
                <w:color w:val="171918"/>
                <w:sz w:val="15"/>
              </w:rPr>
              <w:t>Démocratie, État de droit et médias</w:t>
            </w:r>
          </w:p>
        </w:tc>
        <w:tc>
          <w:tcPr>
            <w:tcW w:type="dxa" w:w="5640"/>
            <w:shd w:fill="F1ECE2"/>
            <w:tcMar>
              <w:top w:w="70" w:type="dxa"/>
              <w:start w:w="90" w:type="dxa"/>
              <w:bottom w:w="70" w:type="dxa"/>
              <w:end w:w="90" w:type="dxa"/>
            </w:tcMar>
            <w:vAlign w:val="center"/>
            <w:tcBorders>
              <w:bottom w:val="single" w:sz="4" w:color="D9D3C7"/>
            </w:tcBorders>
          </w:tcPr>
          <w:p>
            <w:pPr>
              <w:jc w:val="left"/>
            </w:pPr>
            <w:r>
              <w:rPr>
                <w:rFonts w:ascii="Arial" w:hAnsi="Arial"/>
                <w:b w:val="0"/>
                <w:color w:val="171918"/>
                <w:sz w:val="14"/>
              </w:rPr>
              <w:t>État de droit · Lutte anticorruption · Protection des journalistes · Participation citoyenne · Contre-pouvoirs</w:t>
            </w:r>
          </w:p>
        </w:tc>
      </w:tr>
      <w:tr>
        <w:tc>
          <w:tcPr>
            <w:tcW w:type="dxa" w:w="600"/>
            <w:shd w:fill="FFFDF9"/>
            <w:tcMar>
              <w:top w:w="70" w:type="dxa"/>
              <w:start w:w="90" w:type="dxa"/>
              <w:bottom w:w="70" w:type="dxa"/>
              <w:end w:w="90" w:type="dxa"/>
            </w:tcMar>
            <w:vAlign w:val="center"/>
            <w:tcBorders>
              <w:bottom w:val="single" w:sz="4" w:color="D9D3C7"/>
            </w:tcBorders>
          </w:tcPr>
          <w:p>
            <w:pPr>
              <w:jc w:val="center"/>
            </w:pPr>
            <w:r>
              <w:rPr>
                <w:rFonts w:ascii="Arial" w:hAnsi="Arial"/>
                <w:b w:val="0"/>
                <w:color w:val="502379"/>
                <w:sz w:val="15"/>
              </w:rPr>
              <w:t>3</w:t>
            </w:r>
          </w:p>
        </w:tc>
        <w:tc>
          <w:tcPr>
            <w:tcW w:type="dxa" w:w="3000"/>
            <w:shd w:fill="FFFDF9"/>
            <w:tcMar>
              <w:top w:w="70" w:type="dxa"/>
              <w:start w:w="90" w:type="dxa"/>
              <w:bottom w:w="70" w:type="dxa"/>
              <w:end w:w="90" w:type="dxa"/>
            </w:tcMar>
            <w:vAlign w:val="center"/>
            <w:tcBorders>
              <w:bottom w:val="single" w:sz="4" w:color="D9D3C7"/>
            </w:tcBorders>
          </w:tcPr>
          <w:p>
            <w:pPr>
              <w:jc w:val="center"/>
            </w:pPr>
            <w:r>
              <w:rPr>
                <w:rFonts w:ascii="Arial" w:hAnsi="Arial"/>
                <w:b/>
                <w:color w:val="171918"/>
                <w:sz w:val="15"/>
              </w:rPr>
              <w:t>Défense européenne et soutien à l’Ukraine</w:t>
            </w:r>
          </w:p>
        </w:tc>
        <w:tc>
          <w:tcPr>
            <w:tcW w:type="dxa" w:w="5640"/>
            <w:shd w:fill="FFFDF9"/>
            <w:tcMar>
              <w:top w:w="70" w:type="dxa"/>
              <w:start w:w="90" w:type="dxa"/>
              <w:bottom w:w="70" w:type="dxa"/>
              <w:end w:w="90" w:type="dxa"/>
            </w:tcMar>
            <w:vAlign w:val="center"/>
            <w:tcBorders>
              <w:bottom w:val="single" w:sz="4" w:color="D9D3C7"/>
            </w:tcBorders>
          </w:tcPr>
          <w:p>
            <w:pPr>
              <w:jc w:val="left"/>
            </w:pPr>
            <w:r>
              <w:rPr>
                <w:rFonts w:ascii="Arial" w:hAnsi="Arial"/>
                <w:b w:val="0"/>
                <w:color w:val="171918"/>
                <w:sz w:val="14"/>
              </w:rPr>
              <w:t>Forces armées européennes · Industrie de défense commune · Soutien durable à l’Ukraine · Autonomie stratégique · Contrôle démocratique</w:t>
            </w:r>
          </w:p>
        </w:tc>
      </w:tr>
      <w:tr>
        <w:tc>
          <w:tcPr>
            <w:tcW w:type="dxa" w:w="600"/>
            <w:shd w:fill="F1ECE2"/>
            <w:tcMar>
              <w:top w:w="70" w:type="dxa"/>
              <w:start w:w="90" w:type="dxa"/>
              <w:bottom w:w="70" w:type="dxa"/>
              <w:end w:w="90" w:type="dxa"/>
            </w:tcMar>
            <w:vAlign w:val="center"/>
            <w:tcBorders>
              <w:bottom w:val="single" w:sz="4" w:color="D9D3C7"/>
            </w:tcBorders>
          </w:tcPr>
          <w:p>
            <w:pPr>
              <w:jc w:val="center"/>
            </w:pPr>
            <w:r>
              <w:rPr>
                <w:rFonts w:ascii="Arial" w:hAnsi="Arial"/>
                <w:b w:val="0"/>
                <w:color w:val="502379"/>
                <w:sz w:val="15"/>
              </w:rPr>
              <w:t>4</w:t>
            </w:r>
          </w:p>
        </w:tc>
        <w:tc>
          <w:tcPr>
            <w:tcW w:type="dxa" w:w="3000"/>
            <w:shd w:fill="F1ECE2"/>
            <w:tcMar>
              <w:top w:w="70" w:type="dxa"/>
              <w:start w:w="90" w:type="dxa"/>
              <w:bottom w:w="70" w:type="dxa"/>
              <w:end w:w="90" w:type="dxa"/>
            </w:tcMar>
            <w:vAlign w:val="center"/>
            <w:tcBorders>
              <w:bottom w:val="single" w:sz="4" w:color="D9D3C7"/>
            </w:tcBorders>
          </w:tcPr>
          <w:p>
            <w:pPr>
              <w:jc w:val="center"/>
            </w:pPr>
            <w:r>
              <w:rPr>
                <w:rFonts w:ascii="Arial" w:hAnsi="Arial"/>
                <w:b/>
                <w:color w:val="171918"/>
                <w:sz w:val="15"/>
              </w:rPr>
              <w:t>Économie, innovation et industrie</w:t>
            </w:r>
          </w:p>
        </w:tc>
        <w:tc>
          <w:tcPr>
            <w:tcW w:type="dxa" w:w="5640"/>
            <w:shd w:fill="F1ECE2"/>
            <w:tcMar>
              <w:top w:w="70" w:type="dxa"/>
              <w:start w:w="90" w:type="dxa"/>
              <w:bottom w:w="70" w:type="dxa"/>
              <w:end w:w="90" w:type="dxa"/>
            </w:tcMar>
            <w:vAlign w:val="center"/>
            <w:tcBorders>
              <w:bottom w:val="single" w:sz="4" w:color="D9D3C7"/>
            </w:tcBorders>
          </w:tcPr>
          <w:p>
            <w:pPr>
              <w:jc w:val="left"/>
            </w:pPr>
            <w:r>
              <w:rPr>
                <w:rFonts w:ascii="Arial" w:hAnsi="Arial"/>
                <w:b w:val="0"/>
                <w:color w:val="171918"/>
                <w:sz w:val="14"/>
              </w:rPr>
              <w:t>Marché unique · Investissement européen · Recherche et innovation · Industrie stratégique · Fiscalité coordonnée</w:t>
            </w:r>
          </w:p>
        </w:tc>
      </w:tr>
      <w:tr>
        <w:tc>
          <w:tcPr>
            <w:tcW w:type="dxa" w:w="600"/>
            <w:shd w:fill="FFFDF9"/>
            <w:tcMar>
              <w:top w:w="70" w:type="dxa"/>
              <w:start w:w="90" w:type="dxa"/>
              <w:bottom w:w="70" w:type="dxa"/>
              <w:end w:w="90" w:type="dxa"/>
            </w:tcMar>
            <w:vAlign w:val="center"/>
            <w:tcBorders>
              <w:bottom w:val="single" w:sz="4" w:color="D9D3C7"/>
            </w:tcBorders>
          </w:tcPr>
          <w:p>
            <w:pPr>
              <w:jc w:val="center"/>
            </w:pPr>
            <w:r>
              <w:rPr>
                <w:rFonts w:ascii="Arial" w:hAnsi="Arial"/>
                <w:b w:val="0"/>
                <w:color w:val="502379"/>
                <w:sz w:val="15"/>
              </w:rPr>
              <w:t>5</w:t>
            </w:r>
          </w:p>
        </w:tc>
        <w:tc>
          <w:tcPr>
            <w:tcW w:type="dxa" w:w="3000"/>
            <w:shd w:fill="FFFDF9"/>
            <w:tcMar>
              <w:top w:w="70" w:type="dxa"/>
              <w:start w:w="90" w:type="dxa"/>
              <w:bottom w:w="70" w:type="dxa"/>
              <w:end w:w="90" w:type="dxa"/>
            </w:tcMar>
            <w:vAlign w:val="center"/>
            <w:tcBorders>
              <w:bottom w:val="single" w:sz="4" w:color="D9D3C7"/>
            </w:tcBorders>
          </w:tcPr>
          <w:p>
            <w:pPr>
              <w:jc w:val="center"/>
            </w:pPr>
            <w:r>
              <w:rPr>
                <w:rFonts w:ascii="Arial" w:hAnsi="Arial"/>
                <w:b/>
                <w:color w:val="171918"/>
                <w:sz w:val="15"/>
              </w:rPr>
              <w:t>Climat, énergie et neutralité carbone</w:t>
            </w:r>
          </w:p>
        </w:tc>
        <w:tc>
          <w:tcPr>
            <w:tcW w:type="dxa" w:w="5640"/>
            <w:shd w:fill="FFFDF9"/>
            <w:tcMar>
              <w:top w:w="70" w:type="dxa"/>
              <w:start w:w="90" w:type="dxa"/>
              <w:bottom w:w="70" w:type="dxa"/>
              <w:end w:w="90" w:type="dxa"/>
            </w:tcMar>
            <w:vAlign w:val="center"/>
            <w:tcBorders>
              <w:bottom w:val="single" w:sz="4" w:color="D9D3C7"/>
            </w:tcBorders>
          </w:tcPr>
          <w:p>
            <w:pPr>
              <w:jc w:val="left"/>
            </w:pPr>
            <w:r>
              <w:rPr>
                <w:rFonts w:ascii="Arial" w:hAnsi="Arial"/>
                <w:b w:val="0"/>
                <w:color w:val="171918"/>
                <w:sz w:val="14"/>
              </w:rPr>
              <w:t>Neutralité 2040 · Prix du carbone · Nucléaire et renouvelables · Électrification · Transition juste</w:t>
            </w:r>
          </w:p>
        </w:tc>
      </w:tr>
      <w:tr>
        <w:tc>
          <w:tcPr>
            <w:tcW w:type="dxa" w:w="600"/>
            <w:shd w:fill="F1ECE2"/>
            <w:tcMar>
              <w:top w:w="70" w:type="dxa"/>
              <w:start w:w="90" w:type="dxa"/>
              <w:bottom w:w="70" w:type="dxa"/>
              <w:end w:w="90" w:type="dxa"/>
            </w:tcMar>
            <w:vAlign w:val="center"/>
            <w:tcBorders>
              <w:bottom w:val="single" w:sz="4" w:color="D9D3C7"/>
            </w:tcBorders>
          </w:tcPr>
          <w:p>
            <w:pPr>
              <w:jc w:val="center"/>
            </w:pPr>
            <w:r>
              <w:rPr>
                <w:rFonts w:ascii="Arial" w:hAnsi="Arial"/>
                <w:b w:val="0"/>
                <w:color w:val="502379"/>
                <w:sz w:val="15"/>
              </w:rPr>
              <w:t>6</w:t>
            </w:r>
          </w:p>
        </w:tc>
        <w:tc>
          <w:tcPr>
            <w:tcW w:type="dxa" w:w="3000"/>
            <w:shd w:fill="F1ECE2"/>
            <w:tcMar>
              <w:top w:w="70" w:type="dxa"/>
              <w:start w:w="90" w:type="dxa"/>
              <w:bottom w:w="70" w:type="dxa"/>
              <w:end w:w="90" w:type="dxa"/>
            </w:tcMar>
            <w:vAlign w:val="center"/>
            <w:tcBorders>
              <w:bottom w:val="single" w:sz="4" w:color="D9D3C7"/>
            </w:tcBorders>
          </w:tcPr>
          <w:p>
            <w:pPr>
              <w:jc w:val="center"/>
            </w:pPr>
            <w:r>
              <w:rPr>
                <w:rFonts w:ascii="Arial" w:hAnsi="Arial"/>
                <w:b/>
                <w:color w:val="171918"/>
                <w:sz w:val="15"/>
              </w:rPr>
              <w:t>Mobilités, circularité et ressources</w:t>
            </w:r>
          </w:p>
        </w:tc>
        <w:tc>
          <w:tcPr>
            <w:tcW w:type="dxa" w:w="5640"/>
            <w:shd w:fill="F1ECE2"/>
            <w:tcMar>
              <w:top w:w="70" w:type="dxa"/>
              <w:start w:w="90" w:type="dxa"/>
              <w:bottom w:w="70" w:type="dxa"/>
              <w:end w:w="90" w:type="dxa"/>
            </w:tcMar>
            <w:vAlign w:val="center"/>
            <w:tcBorders>
              <w:bottom w:val="single" w:sz="4" w:color="D9D3C7"/>
            </w:tcBorders>
          </w:tcPr>
          <w:p>
            <w:pPr>
              <w:jc w:val="left"/>
            </w:pPr>
            <w:r>
              <w:rPr>
                <w:rFonts w:ascii="Arial" w:hAnsi="Arial"/>
                <w:b w:val="0"/>
                <w:color w:val="171918"/>
                <w:sz w:val="14"/>
              </w:rPr>
              <w:t>Rail européen · Transports collectifs · Économie circulaire · Droit à la réparation · Empreinte matérielle</w:t>
            </w:r>
          </w:p>
        </w:tc>
      </w:tr>
      <w:tr>
        <w:tc>
          <w:tcPr>
            <w:tcW w:type="dxa" w:w="600"/>
            <w:shd w:fill="FFFDF9"/>
            <w:tcMar>
              <w:top w:w="70" w:type="dxa"/>
              <w:start w:w="90" w:type="dxa"/>
              <w:bottom w:w="70" w:type="dxa"/>
              <w:end w:w="90" w:type="dxa"/>
            </w:tcMar>
            <w:vAlign w:val="center"/>
            <w:tcBorders>
              <w:bottom w:val="single" w:sz="4" w:color="D9D3C7"/>
            </w:tcBorders>
          </w:tcPr>
          <w:p>
            <w:pPr>
              <w:jc w:val="center"/>
            </w:pPr>
            <w:r>
              <w:rPr>
                <w:rFonts w:ascii="Arial" w:hAnsi="Arial"/>
                <w:b w:val="0"/>
                <w:color w:val="502379"/>
                <w:sz w:val="15"/>
              </w:rPr>
              <w:t>7</w:t>
            </w:r>
          </w:p>
        </w:tc>
        <w:tc>
          <w:tcPr>
            <w:tcW w:type="dxa" w:w="3000"/>
            <w:shd w:fill="FFFDF9"/>
            <w:tcMar>
              <w:top w:w="70" w:type="dxa"/>
              <w:start w:w="90" w:type="dxa"/>
              <w:bottom w:w="70" w:type="dxa"/>
              <w:end w:w="90" w:type="dxa"/>
            </w:tcMar>
            <w:vAlign w:val="center"/>
            <w:tcBorders>
              <w:bottom w:val="single" w:sz="4" w:color="D9D3C7"/>
            </w:tcBorders>
          </w:tcPr>
          <w:p>
            <w:pPr>
              <w:jc w:val="center"/>
            </w:pPr>
            <w:r>
              <w:rPr>
                <w:rFonts w:ascii="Arial" w:hAnsi="Arial"/>
                <w:b/>
                <w:color w:val="171918"/>
                <w:sz w:val="15"/>
              </w:rPr>
              <w:t>Protection sociale et services publics</w:t>
            </w:r>
          </w:p>
        </w:tc>
        <w:tc>
          <w:tcPr>
            <w:tcW w:type="dxa" w:w="5640"/>
            <w:shd w:fill="FFFDF9"/>
            <w:tcMar>
              <w:top w:w="70" w:type="dxa"/>
              <w:start w:w="90" w:type="dxa"/>
              <w:bottom w:w="70" w:type="dxa"/>
              <w:end w:w="90" w:type="dxa"/>
            </w:tcMar>
            <w:vAlign w:val="center"/>
            <w:tcBorders>
              <w:bottom w:val="single" w:sz="4" w:color="D9D3C7"/>
            </w:tcBorders>
          </w:tcPr>
          <w:p>
            <w:pPr>
              <w:jc w:val="left"/>
            </w:pPr>
            <w:r>
              <w:rPr>
                <w:rFonts w:ascii="Arial" w:hAnsi="Arial"/>
                <w:b w:val="0"/>
                <w:color w:val="171918"/>
                <w:sz w:val="14"/>
              </w:rPr>
              <w:t>Socle social européen · Santé et éducation · Droits des travailleurs · Revenu de base européen · Égalité des chances</w:t>
            </w:r>
          </w:p>
        </w:tc>
      </w:tr>
      <w:tr>
        <w:tc>
          <w:tcPr>
            <w:tcW w:type="dxa" w:w="600"/>
            <w:shd w:fill="F1ECE2"/>
            <w:tcMar>
              <w:top w:w="70" w:type="dxa"/>
              <w:start w:w="90" w:type="dxa"/>
              <w:bottom w:w="70" w:type="dxa"/>
              <w:end w:w="90" w:type="dxa"/>
            </w:tcMar>
            <w:vAlign w:val="center"/>
            <w:tcBorders>
              <w:bottom w:val="single" w:sz="4" w:color="D9D3C7"/>
            </w:tcBorders>
          </w:tcPr>
          <w:p>
            <w:pPr>
              <w:jc w:val="center"/>
            </w:pPr>
            <w:r>
              <w:rPr>
                <w:rFonts w:ascii="Arial" w:hAnsi="Arial"/>
                <w:b w:val="0"/>
                <w:color w:val="502379"/>
                <w:sz w:val="15"/>
              </w:rPr>
              <w:t>8</w:t>
            </w:r>
          </w:p>
        </w:tc>
        <w:tc>
          <w:tcPr>
            <w:tcW w:type="dxa" w:w="3000"/>
            <w:shd w:fill="F1ECE2"/>
            <w:tcMar>
              <w:top w:w="70" w:type="dxa"/>
              <w:start w:w="90" w:type="dxa"/>
              <w:bottom w:w="70" w:type="dxa"/>
              <w:end w:w="90" w:type="dxa"/>
            </w:tcMar>
            <w:vAlign w:val="center"/>
            <w:tcBorders>
              <w:bottom w:val="single" w:sz="4" w:color="D9D3C7"/>
            </w:tcBorders>
          </w:tcPr>
          <w:p>
            <w:pPr>
              <w:jc w:val="center"/>
            </w:pPr>
            <w:r>
              <w:rPr>
                <w:rFonts w:ascii="Arial" w:hAnsi="Arial"/>
                <w:b/>
                <w:color w:val="171918"/>
                <w:sz w:val="15"/>
              </w:rPr>
              <w:t>Migration, asile et inclusion</w:t>
            </w:r>
          </w:p>
        </w:tc>
        <w:tc>
          <w:tcPr>
            <w:tcW w:type="dxa" w:w="5640"/>
            <w:shd w:fill="F1ECE2"/>
            <w:tcMar>
              <w:top w:w="70" w:type="dxa"/>
              <w:start w:w="90" w:type="dxa"/>
              <w:bottom w:w="70" w:type="dxa"/>
              <w:end w:w="90" w:type="dxa"/>
            </w:tcMar>
            <w:vAlign w:val="center"/>
            <w:tcBorders>
              <w:bottom w:val="single" w:sz="4" w:color="D9D3C7"/>
            </w:tcBorders>
          </w:tcPr>
          <w:p>
            <w:pPr>
              <w:jc w:val="left"/>
            </w:pPr>
            <w:r>
              <w:rPr>
                <w:rFonts w:ascii="Arial" w:hAnsi="Arial"/>
                <w:b w:val="0"/>
                <w:color w:val="171918"/>
                <w:sz w:val="14"/>
              </w:rPr>
              <w:t>Asile européen humain · Voies légales · Répartition solidaire · Intégration · Non-discrimination</w:t>
            </w:r>
          </w:p>
        </w:tc>
      </w:tr>
      <w:tr>
        <w:tc>
          <w:tcPr>
            <w:tcW w:type="dxa" w:w="600"/>
            <w:shd w:fill="FFFDF9"/>
            <w:tcMar>
              <w:top w:w="70" w:type="dxa"/>
              <w:start w:w="90" w:type="dxa"/>
              <w:bottom w:w="70" w:type="dxa"/>
              <w:end w:w="90" w:type="dxa"/>
            </w:tcMar>
            <w:vAlign w:val="center"/>
            <w:tcBorders>
              <w:bottom w:val="single" w:sz="4" w:color="D9D3C7"/>
            </w:tcBorders>
          </w:tcPr>
          <w:p>
            <w:pPr>
              <w:jc w:val="center"/>
            </w:pPr>
            <w:r>
              <w:rPr>
                <w:rFonts w:ascii="Arial" w:hAnsi="Arial"/>
                <w:b w:val="0"/>
                <w:color w:val="502379"/>
                <w:sz w:val="15"/>
              </w:rPr>
              <w:t>9</w:t>
            </w:r>
          </w:p>
        </w:tc>
        <w:tc>
          <w:tcPr>
            <w:tcW w:type="dxa" w:w="3000"/>
            <w:shd w:fill="FFFDF9"/>
            <w:tcMar>
              <w:top w:w="70" w:type="dxa"/>
              <w:start w:w="90" w:type="dxa"/>
              <w:bottom w:w="70" w:type="dxa"/>
              <w:end w:w="90" w:type="dxa"/>
            </w:tcMar>
            <w:vAlign w:val="center"/>
            <w:tcBorders>
              <w:bottom w:val="single" w:sz="4" w:color="D9D3C7"/>
            </w:tcBorders>
          </w:tcPr>
          <w:p>
            <w:pPr>
              <w:jc w:val="center"/>
            </w:pPr>
            <w:r>
              <w:rPr>
                <w:rFonts w:ascii="Arial" w:hAnsi="Arial"/>
                <w:b/>
                <w:color w:val="171918"/>
                <w:sz w:val="15"/>
              </w:rPr>
              <w:t>Numérique, données et communs ouverts</w:t>
            </w:r>
          </w:p>
        </w:tc>
        <w:tc>
          <w:tcPr>
            <w:tcW w:type="dxa" w:w="5640"/>
            <w:shd w:fill="FFFDF9"/>
            <w:tcMar>
              <w:top w:w="70" w:type="dxa"/>
              <w:start w:w="90" w:type="dxa"/>
              <w:bottom w:w="70" w:type="dxa"/>
              <w:end w:w="90" w:type="dxa"/>
            </w:tcMar>
            <w:vAlign w:val="center"/>
            <w:tcBorders>
              <w:bottom w:val="single" w:sz="4" w:color="D9D3C7"/>
            </w:tcBorders>
          </w:tcPr>
          <w:p>
            <w:pPr>
              <w:jc w:val="left"/>
            </w:pPr>
            <w:r>
              <w:rPr>
                <w:rFonts w:ascii="Arial" w:hAnsi="Arial"/>
                <w:b w:val="0"/>
                <w:color w:val="171918"/>
                <w:sz w:val="14"/>
              </w:rPr>
              <w:t>Protection des données · Neutralité du Net · Logiciels libres · IA responsable · Services publics numériques</w:t>
            </w:r>
          </w:p>
        </w:tc>
      </w:tr>
      <w:tr>
        <w:tc>
          <w:tcPr>
            <w:tcW w:type="dxa" w:w="600"/>
            <w:shd w:fill="F1ECE2"/>
            <w:tcMar>
              <w:top w:w="70" w:type="dxa"/>
              <w:start w:w="90" w:type="dxa"/>
              <w:bottom w:w="70" w:type="dxa"/>
              <w:end w:w="90" w:type="dxa"/>
            </w:tcMar>
            <w:vAlign w:val="center"/>
            <w:tcBorders>
              <w:bottom w:val="single" w:sz="4" w:color="D9D3C7"/>
            </w:tcBorders>
          </w:tcPr>
          <w:p>
            <w:pPr>
              <w:jc w:val="center"/>
            </w:pPr>
            <w:r>
              <w:rPr>
                <w:rFonts w:ascii="Arial" w:hAnsi="Arial"/>
                <w:b w:val="0"/>
                <w:color w:val="502379"/>
                <w:sz w:val="15"/>
              </w:rPr>
              <w:t>10</w:t>
            </w:r>
          </w:p>
        </w:tc>
        <w:tc>
          <w:tcPr>
            <w:tcW w:type="dxa" w:w="3000"/>
            <w:shd w:fill="F1ECE2"/>
            <w:tcMar>
              <w:top w:w="70" w:type="dxa"/>
              <w:start w:w="90" w:type="dxa"/>
              <w:bottom w:w="70" w:type="dxa"/>
              <w:end w:w="90" w:type="dxa"/>
            </w:tcMar>
            <w:vAlign w:val="center"/>
            <w:tcBorders>
              <w:bottom w:val="single" w:sz="4" w:color="D9D3C7"/>
            </w:tcBorders>
          </w:tcPr>
          <w:p>
            <w:pPr>
              <w:jc w:val="center"/>
            </w:pPr>
            <w:r>
              <w:rPr>
                <w:rFonts w:ascii="Arial" w:hAnsi="Arial"/>
                <w:b/>
                <w:color w:val="171918"/>
                <w:sz w:val="15"/>
              </w:rPr>
              <w:t>Diplomatie, élargissement et multilatéralisme</w:t>
            </w:r>
          </w:p>
        </w:tc>
        <w:tc>
          <w:tcPr>
            <w:tcW w:type="dxa" w:w="5640"/>
            <w:shd w:fill="F1ECE2"/>
            <w:tcMar>
              <w:top w:w="70" w:type="dxa"/>
              <w:start w:w="90" w:type="dxa"/>
              <w:bottom w:w="70" w:type="dxa"/>
              <w:end w:w="90" w:type="dxa"/>
            </w:tcMar>
            <w:vAlign w:val="center"/>
            <w:tcBorders>
              <w:bottom w:val="single" w:sz="4" w:color="D9D3C7"/>
            </w:tcBorders>
          </w:tcPr>
          <w:p>
            <w:pPr>
              <w:jc w:val="left"/>
            </w:pPr>
            <w:r>
              <w:rPr>
                <w:rFonts w:ascii="Arial" w:hAnsi="Arial"/>
                <w:b w:val="0"/>
                <w:color w:val="171918"/>
                <w:sz w:val="14"/>
              </w:rPr>
              <w:t>Politique étrangère commune · Élargissement démocratique · Droits humains · Multilatéralisme · Justice climatique mondiale</w:t>
            </w:r>
          </w:p>
        </w:tc>
      </w:tr>
    </w:tbl>
    <w:p>
      <w:r>
        <w:br w:type="page"/>
      </w:r>
    </w:p>
    <w:p>
      <w:pPr>
        <w:spacing w:before="0" w:after="40"/>
      </w:pPr>
      <w:r>
        <w:rPr>
          <w:rFonts w:ascii="Arial" w:hAnsi="Arial"/>
          <w:b/>
          <w:color w:val="502379"/>
          <w:sz w:val="15"/>
        </w:rPr>
        <w:t>RÉSULTATS</w:t>
      </w:r>
    </w:p>
    <w:p>
      <w:pPr>
        <w:pStyle w:val="Title"/>
        <w:spacing w:after="100"/>
        <w:pBdr>
          <w:bottom w:val="single" w:sz="8" w:space="3" w:color="502379"/>
        </w:pBdr>
      </w:pPr>
      <w:r>
        <w:rPr>
          <w:rFonts w:ascii="Arial" w:hAnsi="Arial"/>
          <w:b/>
          <w:color w:val="171918"/>
          <w:sz w:val="52"/>
        </w:rPr>
        <w:t>Classement général</w:t>
      </w:r>
    </w:p>
    <w:p>
      <w:pPr>
        <w:spacing w:after="140"/>
      </w:pPr>
      <w:r>
        <w:rPr>
          <w:rFonts w:ascii="Arial" w:hAnsi="Arial"/>
          <w:color w:val="6C6A66"/>
          <w:sz w:val="19"/>
        </w:rPr>
        <w:t>Somme des dix axes, sans agrégation entre référentiels.</w:t>
      </w:r>
    </w:p>
    <w:tbl>
      <w:tblPr>
        <w:tblW w:type="dxa" w:w="9240"/>
        <w:tblLayout w:type="fixed"/>
        <w:tblLook w:firstColumn="1" w:firstRow="1" w:lastColumn="0" w:lastRow="0" w:noHBand="0" w:noVBand="1" w:val="04A0"/>
        <w:tblInd w:w="120" w:type="dxa"/>
      </w:tblPr>
      <w:tblGrid>
        <w:gridCol w:w="980"/>
        <w:gridCol w:w="2650"/>
        <w:gridCol w:w="3000"/>
        <w:gridCol w:w="1250"/>
        <w:gridCol w:w="1360"/>
      </w:tblGrid>
      <w:tr>
        <w:trPr>
          <w:tblHeader w:val="true"/>
        </w:trPr>
        <w:tc>
          <w:tcPr>
            <w:tcW w:type="dxa" w:w="980"/>
            <w:shd w:fill="171918"/>
            <w:tcMar>
              <w:top w:w="70" w:type="dxa"/>
              <w:start w:w="120" w:type="dxa"/>
              <w:bottom w:w="70" w:type="dxa"/>
              <w:end w:w="120" w:type="dxa"/>
            </w:tcMar>
            <w:vAlign w:val="center"/>
          </w:tcPr>
          <w:p>
            <w:pPr>
              <w:jc w:val="center"/>
            </w:pPr>
            <w:r>
              <w:rPr>
                <w:rFonts w:ascii="Arial" w:hAnsi="Arial"/>
                <w:b/>
                <w:color w:val="FFFFFF"/>
                <w:sz w:val="15"/>
              </w:rPr>
              <w:t>Rang</w:t>
            </w:r>
          </w:p>
        </w:tc>
        <w:tc>
          <w:tcPr>
            <w:tcW w:type="dxa" w:w="2650"/>
            <w:shd w:fill="171918"/>
            <w:tcMar>
              <w:top w:w="70" w:type="dxa"/>
              <w:start w:w="120" w:type="dxa"/>
              <w:bottom w:w="70" w:type="dxa"/>
              <w:end w:w="120" w:type="dxa"/>
            </w:tcMar>
            <w:vAlign w:val="center"/>
          </w:tcPr>
          <w:p>
            <w:pPr>
              <w:jc w:val="center"/>
            </w:pPr>
            <w:r>
              <w:rPr>
                <w:rFonts w:ascii="Arial" w:hAnsi="Arial"/>
                <w:b/>
                <w:color w:val="FFFFFF"/>
                <w:sz w:val="15"/>
              </w:rPr>
              <w:t>Candidat</w:t>
            </w:r>
          </w:p>
        </w:tc>
        <w:tc>
          <w:tcPr>
            <w:tcW w:type="dxa" w:w="3000"/>
            <w:shd w:fill="171918"/>
            <w:tcMar>
              <w:top w:w="70" w:type="dxa"/>
              <w:start w:w="120" w:type="dxa"/>
              <w:bottom w:w="70" w:type="dxa"/>
              <w:end w:w="120" w:type="dxa"/>
            </w:tcMar>
            <w:vAlign w:val="center"/>
          </w:tcPr>
          <w:p>
            <w:pPr>
              <w:jc w:val="center"/>
            </w:pPr>
            <w:r>
              <w:rPr>
                <w:rFonts w:ascii="Arial" w:hAnsi="Arial"/>
                <w:b/>
                <w:color w:val="FFFFFF"/>
                <w:sz w:val="15"/>
              </w:rPr>
              <w:t>Formation</w:t>
            </w:r>
          </w:p>
        </w:tc>
        <w:tc>
          <w:tcPr>
            <w:tcW w:type="dxa" w:w="1250"/>
            <w:shd w:fill="171918"/>
            <w:tcMar>
              <w:top w:w="70" w:type="dxa"/>
              <w:start w:w="120" w:type="dxa"/>
              <w:bottom w:w="70" w:type="dxa"/>
              <w:end w:w="120" w:type="dxa"/>
            </w:tcMar>
            <w:vAlign w:val="center"/>
          </w:tcPr>
          <w:p>
            <w:pPr>
              <w:jc w:val="center"/>
            </w:pPr>
            <w:r>
              <w:rPr>
                <w:rFonts w:ascii="Arial" w:hAnsi="Arial"/>
                <w:b/>
                <w:color w:val="FFFFFF"/>
                <w:sz w:val="15"/>
              </w:rPr>
              <w:t>Total</w:t>
            </w:r>
          </w:p>
        </w:tc>
        <w:tc>
          <w:tcPr>
            <w:tcW w:type="dxa" w:w="1360"/>
            <w:shd w:fill="171918"/>
            <w:tcMar>
              <w:top w:w="70" w:type="dxa"/>
              <w:start w:w="120" w:type="dxa"/>
              <w:bottom w:w="70" w:type="dxa"/>
              <w:end w:w="120" w:type="dxa"/>
            </w:tcMar>
            <w:vAlign w:val="center"/>
          </w:tcPr>
          <w:p>
            <w:pPr>
              <w:jc w:val="center"/>
            </w:pPr>
            <w:r>
              <w:rPr>
                <w:rFonts w:ascii="Arial" w:hAnsi="Arial"/>
                <w:b/>
                <w:color w:val="FFFFFF"/>
                <w:sz w:val="15"/>
              </w:rPr>
              <w:t>Documentation</w:t>
            </w:r>
          </w:p>
        </w:tc>
      </w:tr>
      <w:tr>
        <w:tc>
          <w:tcPr>
            <w:tcW w:type="dxa" w:w="980"/>
            <w:shd w:fill="FFFDF9"/>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1re</w:t>
            </w:r>
          </w:p>
        </w:tc>
        <w:tc>
          <w:tcPr>
            <w:tcW w:type="dxa" w:w="2650"/>
            <w:shd w:fill="FFFDF9"/>
            <w:tcMar>
              <w:top w:w="70" w:type="dxa"/>
              <w:start w:w="80" w:type="dxa"/>
              <w:bottom w:w="70" w:type="dxa"/>
              <w:end w:w="80" w:type="dxa"/>
            </w:tcMar>
            <w:vAlign w:val="center"/>
            <w:tcBorders>
              <w:bottom w:val="single" w:sz="4" w:color="D9D3C7"/>
            </w:tcBorders>
          </w:tcPr>
          <w:p>
            <w:pPr>
              <w:jc w:val="left"/>
            </w:pPr>
            <w:r>
              <w:rPr>
                <w:rFonts w:ascii="Arial" w:hAnsi="Arial"/>
                <w:b/>
                <w:color w:val="171918"/>
                <w:sz w:val="15"/>
              </w:rPr>
              <w:t>Raphaël Glucksmann</w:t>
            </w:r>
          </w:p>
        </w:tc>
        <w:tc>
          <w:tcPr>
            <w:tcW w:type="dxa" w:w="3000"/>
            <w:shd w:fill="FFFDF9"/>
            <w:tcMar>
              <w:top w:w="70" w:type="dxa"/>
              <w:start w:w="80" w:type="dxa"/>
              <w:bottom w:w="70" w:type="dxa"/>
              <w:end w:w="80" w:type="dxa"/>
            </w:tcMar>
            <w:vAlign w:val="center"/>
            <w:tcBorders>
              <w:bottom w:val="single" w:sz="4" w:color="D9D3C7"/>
            </w:tcBorders>
          </w:tcPr>
          <w:p>
            <w:pPr>
              <w:jc w:val="left"/>
            </w:pPr>
            <w:r>
              <w:rPr>
                <w:rFonts w:ascii="Arial" w:hAnsi="Arial"/>
                <w:b w:val="0"/>
                <w:color w:val="171918"/>
                <w:sz w:val="15"/>
              </w:rPr>
              <w:t>Place publique</w:t>
            </w:r>
          </w:p>
        </w:tc>
        <w:tc>
          <w:tcPr>
            <w:tcW w:type="dxa" w:w="1250"/>
            <w:shd w:fill="FFFDF9"/>
            <w:tcMar>
              <w:top w:w="70" w:type="dxa"/>
              <w:start w:w="80" w:type="dxa"/>
              <w:bottom w:w="70" w:type="dxa"/>
              <w:end w:w="80" w:type="dxa"/>
            </w:tcMar>
            <w:vAlign w:val="center"/>
            <w:tcBorders>
              <w:bottom w:val="single" w:sz="4" w:color="D9D3C7"/>
            </w:tcBorders>
          </w:tcPr>
          <w:p>
            <w:pPr>
              <w:jc w:val="center"/>
            </w:pPr>
            <w:r>
              <w:rPr>
                <w:rFonts w:ascii="Arial" w:hAnsi="Arial"/>
                <w:b/>
                <w:color w:val="2E8B57"/>
                <w:sz w:val="15"/>
              </w:rPr>
              <w:t>92/100</w:t>
            </w:r>
          </w:p>
        </w:tc>
        <w:tc>
          <w:tcPr>
            <w:tcW w:type="dxa" w:w="1360"/>
            <w:shd w:fill="FFFDF9"/>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Élevée</w:t>
            </w:r>
          </w:p>
        </w:tc>
      </w:tr>
      <w:tr>
        <w:tc>
          <w:tcPr>
            <w:tcW w:type="dxa" w:w="980"/>
            <w:shd w:fill="F1ECE2"/>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2e</w:t>
            </w:r>
          </w:p>
        </w:tc>
        <w:tc>
          <w:tcPr>
            <w:tcW w:type="dxa" w:w="2650"/>
            <w:shd w:fill="F1ECE2"/>
            <w:tcMar>
              <w:top w:w="70" w:type="dxa"/>
              <w:start w:w="80" w:type="dxa"/>
              <w:bottom w:w="70" w:type="dxa"/>
              <w:end w:w="80" w:type="dxa"/>
            </w:tcMar>
            <w:vAlign w:val="center"/>
            <w:tcBorders>
              <w:bottom w:val="single" w:sz="4" w:color="D9D3C7"/>
            </w:tcBorders>
          </w:tcPr>
          <w:p>
            <w:pPr>
              <w:jc w:val="left"/>
            </w:pPr>
            <w:r>
              <w:rPr>
                <w:rFonts w:ascii="Arial" w:hAnsi="Arial"/>
                <w:b/>
                <w:color w:val="171918"/>
                <w:sz w:val="15"/>
              </w:rPr>
              <w:t>Marine Tondelier</w:t>
            </w:r>
          </w:p>
        </w:tc>
        <w:tc>
          <w:tcPr>
            <w:tcW w:type="dxa" w:w="3000"/>
            <w:shd w:fill="F1ECE2"/>
            <w:tcMar>
              <w:top w:w="70" w:type="dxa"/>
              <w:start w:w="80" w:type="dxa"/>
              <w:bottom w:w="70" w:type="dxa"/>
              <w:end w:w="80" w:type="dxa"/>
            </w:tcMar>
            <w:vAlign w:val="center"/>
            <w:tcBorders>
              <w:bottom w:val="single" w:sz="4" w:color="D9D3C7"/>
            </w:tcBorders>
          </w:tcPr>
          <w:p>
            <w:pPr>
              <w:jc w:val="left"/>
            </w:pPr>
            <w:r>
              <w:rPr>
                <w:rFonts w:ascii="Arial" w:hAnsi="Arial"/>
                <w:b w:val="0"/>
                <w:color w:val="171918"/>
                <w:sz w:val="15"/>
              </w:rPr>
              <w:t>Les Écologistes</w:t>
            </w:r>
          </w:p>
        </w:tc>
        <w:tc>
          <w:tcPr>
            <w:tcW w:type="dxa" w:w="1250"/>
            <w:shd w:fill="F1ECE2"/>
            <w:tcMar>
              <w:top w:w="70" w:type="dxa"/>
              <w:start w:w="80" w:type="dxa"/>
              <w:bottom w:w="70" w:type="dxa"/>
              <w:end w:w="80" w:type="dxa"/>
            </w:tcMar>
            <w:vAlign w:val="center"/>
            <w:tcBorders>
              <w:bottom w:val="single" w:sz="4" w:color="D9D3C7"/>
            </w:tcBorders>
          </w:tcPr>
          <w:p>
            <w:pPr>
              <w:jc w:val="center"/>
            </w:pPr>
            <w:r>
              <w:rPr>
                <w:rFonts w:ascii="Arial" w:hAnsi="Arial"/>
                <w:b/>
                <w:color w:val="2E8B57"/>
                <w:sz w:val="15"/>
              </w:rPr>
              <w:t>91/100</w:t>
            </w:r>
          </w:p>
        </w:tc>
        <w:tc>
          <w:tcPr>
            <w:tcW w:type="dxa" w:w="1360"/>
            <w:shd w:fill="F1ECE2"/>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Élevée</w:t>
            </w:r>
          </w:p>
        </w:tc>
      </w:tr>
      <w:tr>
        <w:tc>
          <w:tcPr>
            <w:tcW w:type="dxa" w:w="980"/>
            <w:shd w:fill="FFFDF9"/>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3e</w:t>
            </w:r>
          </w:p>
        </w:tc>
        <w:tc>
          <w:tcPr>
            <w:tcW w:type="dxa" w:w="2650"/>
            <w:shd w:fill="FFFDF9"/>
            <w:tcMar>
              <w:top w:w="70" w:type="dxa"/>
              <w:start w:w="80" w:type="dxa"/>
              <w:bottom w:w="70" w:type="dxa"/>
              <w:end w:w="80" w:type="dxa"/>
            </w:tcMar>
            <w:vAlign w:val="center"/>
            <w:tcBorders>
              <w:bottom w:val="single" w:sz="4" w:color="D9D3C7"/>
            </w:tcBorders>
          </w:tcPr>
          <w:p>
            <w:pPr>
              <w:jc w:val="left"/>
            </w:pPr>
            <w:r>
              <w:rPr>
                <w:rFonts w:ascii="Arial" w:hAnsi="Arial"/>
                <w:b/>
                <w:color w:val="171918"/>
                <w:sz w:val="15"/>
              </w:rPr>
              <w:t>François Ruffin</w:t>
            </w:r>
          </w:p>
        </w:tc>
        <w:tc>
          <w:tcPr>
            <w:tcW w:type="dxa" w:w="3000"/>
            <w:shd w:fill="FFFDF9"/>
            <w:tcMar>
              <w:top w:w="70" w:type="dxa"/>
              <w:start w:w="80" w:type="dxa"/>
              <w:bottom w:w="70" w:type="dxa"/>
              <w:end w:w="80" w:type="dxa"/>
            </w:tcMar>
            <w:vAlign w:val="center"/>
            <w:tcBorders>
              <w:bottom w:val="single" w:sz="4" w:color="D9D3C7"/>
            </w:tcBorders>
          </w:tcPr>
          <w:p>
            <w:pPr>
              <w:jc w:val="left"/>
            </w:pPr>
            <w:r>
              <w:rPr>
                <w:rFonts w:ascii="Arial" w:hAnsi="Arial"/>
                <w:b w:val="0"/>
                <w:color w:val="171918"/>
                <w:sz w:val="15"/>
              </w:rPr>
              <w:t>Picardie debout / Debout !</w:t>
            </w:r>
          </w:p>
        </w:tc>
        <w:tc>
          <w:tcPr>
            <w:tcW w:type="dxa" w:w="1250"/>
            <w:shd w:fill="FFFDF9"/>
            <w:tcMar>
              <w:top w:w="70" w:type="dxa"/>
              <w:start w:w="80" w:type="dxa"/>
              <w:bottom w:w="70" w:type="dxa"/>
              <w:end w:w="80" w:type="dxa"/>
            </w:tcMar>
            <w:vAlign w:val="center"/>
            <w:tcBorders>
              <w:bottom w:val="single" w:sz="4" w:color="D9D3C7"/>
            </w:tcBorders>
          </w:tcPr>
          <w:p>
            <w:pPr>
              <w:jc w:val="center"/>
            </w:pPr>
            <w:r>
              <w:rPr>
                <w:rFonts w:ascii="Arial" w:hAnsi="Arial"/>
                <w:b/>
                <w:color w:val="719A39"/>
                <w:sz w:val="15"/>
              </w:rPr>
              <w:t>77/100</w:t>
            </w:r>
          </w:p>
        </w:tc>
        <w:tc>
          <w:tcPr>
            <w:tcW w:type="dxa" w:w="1360"/>
            <w:shd w:fill="FFFDF9"/>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Moyenne</w:t>
            </w:r>
          </w:p>
        </w:tc>
      </w:tr>
      <w:tr>
        <w:tc>
          <w:tcPr>
            <w:tcW w:type="dxa" w:w="980"/>
            <w:shd w:fill="F1ECE2"/>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4e</w:t>
            </w:r>
          </w:p>
        </w:tc>
        <w:tc>
          <w:tcPr>
            <w:tcW w:type="dxa" w:w="2650"/>
            <w:shd w:fill="F1ECE2"/>
            <w:tcMar>
              <w:top w:w="70" w:type="dxa"/>
              <w:start w:w="80" w:type="dxa"/>
              <w:bottom w:w="70" w:type="dxa"/>
              <w:end w:w="80" w:type="dxa"/>
            </w:tcMar>
            <w:vAlign w:val="center"/>
            <w:tcBorders>
              <w:bottom w:val="single" w:sz="4" w:color="D9D3C7"/>
            </w:tcBorders>
          </w:tcPr>
          <w:p>
            <w:pPr>
              <w:jc w:val="left"/>
            </w:pPr>
            <w:r>
              <w:rPr>
                <w:rFonts w:ascii="Arial" w:hAnsi="Arial"/>
                <w:b/>
                <w:color w:val="171918"/>
                <w:sz w:val="15"/>
              </w:rPr>
              <w:t>Gabriel Attal</w:t>
            </w:r>
          </w:p>
        </w:tc>
        <w:tc>
          <w:tcPr>
            <w:tcW w:type="dxa" w:w="3000"/>
            <w:shd w:fill="F1ECE2"/>
            <w:tcMar>
              <w:top w:w="70" w:type="dxa"/>
              <w:start w:w="80" w:type="dxa"/>
              <w:bottom w:w="70" w:type="dxa"/>
              <w:end w:w="80" w:type="dxa"/>
            </w:tcMar>
            <w:vAlign w:val="center"/>
            <w:tcBorders>
              <w:bottom w:val="single" w:sz="4" w:color="D9D3C7"/>
            </w:tcBorders>
          </w:tcPr>
          <w:p>
            <w:pPr>
              <w:jc w:val="left"/>
            </w:pPr>
            <w:r>
              <w:rPr>
                <w:rFonts w:ascii="Arial" w:hAnsi="Arial"/>
                <w:b w:val="0"/>
                <w:color w:val="171918"/>
                <w:sz w:val="15"/>
              </w:rPr>
              <w:t>Renaissance</w:t>
            </w:r>
          </w:p>
        </w:tc>
        <w:tc>
          <w:tcPr>
            <w:tcW w:type="dxa" w:w="1250"/>
            <w:shd w:fill="F1ECE2"/>
            <w:tcMar>
              <w:top w:w="70" w:type="dxa"/>
              <w:start w:w="80" w:type="dxa"/>
              <w:bottom w:w="70" w:type="dxa"/>
              <w:end w:w="80" w:type="dxa"/>
            </w:tcMar>
            <w:vAlign w:val="center"/>
            <w:tcBorders>
              <w:bottom w:val="single" w:sz="4" w:color="D9D3C7"/>
            </w:tcBorders>
          </w:tcPr>
          <w:p>
            <w:pPr>
              <w:jc w:val="center"/>
            </w:pPr>
            <w:r>
              <w:rPr>
                <w:rFonts w:ascii="Arial" w:hAnsi="Arial"/>
                <w:b/>
                <w:color w:val="719A39"/>
                <w:sz w:val="15"/>
              </w:rPr>
              <w:t>76/100</w:t>
            </w:r>
          </w:p>
        </w:tc>
        <w:tc>
          <w:tcPr>
            <w:tcW w:type="dxa" w:w="1360"/>
            <w:shd w:fill="F1ECE2"/>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Moyenne</w:t>
            </w:r>
          </w:p>
        </w:tc>
      </w:tr>
      <w:tr>
        <w:tc>
          <w:tcPr>
            <w:tcW w:type="dxa" w:w="980"/>
            <w:shd w:fill="FFFDF9"/>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5e ex æquo</w:t>
            </w:r>
          </w:p>
        </w:tc>
        <w:tc>
          <w:tcPr>
            <w:tcW w:type="dxa" w:w="2650"/>
            <w:shd w:fill="FFFDF9"/>
            <w:tcMar>
              <w:top w:w="70" w:type="dxa"/>
              <w:start w:w="80" w:type="dxa"/>
              <w:bottom w:w="70" w:type="dxa"/>
              <w:end w:w="80" w:type="dxa"/>
            </w:tcMar>
            <w:vAlign w:val="center"/>
            <w:tcBorders>
              <w:bottom w:val="single" w:sz="4" w:color="D9D3C7"/>
            </w:tcBorders>
          </w:tcPr>
          <w:p>
            <w:pPr>
              <w:jc w:val="left"/>
            </w:pPr>
            <w:r>
              <w:rPr>
                <w:rFonts w:ascii="Arial" w:hAnsi="Arial"/>
                <w:b/>
                <w:color w:val="171918"/>
                <w:sz w:val="15"/>
              </w:rPr>
              <w:t>Jean-Luc Mélenchon</w:t>
            </w:r>
          </w:p>
        </w:tc>
        <w:tc>
          <w:tcPr>
            <w:tcW w:type="dxa" w:w="3000"/>
            <w:shd w:fill="FFFDF9"/>
            <w:tcMar>
              <w:top w:w="70" w:type="dxa"/>
              <w:start w:w="80" w:type="dxa"/>
              <w:bottom w:w="70" w:type="dxa"/>
              <w:end w:w="80" w:type="dxa"/>
            </w:tcMar>
            <w:vAlign w:val="center"/>
            <w:tcBorders>
              <w:bottom w:val="single" w:sz="4" w:color="D9D3C7"/>
            </w:tcBorders>
          </w:tcPr>
          <w:p>
            <w:pPr>
              <w:jc w:val="left"/>
            </w:pPr>
            <w:r>
              <w:rPr>
                <w:rFonts w:ascii="Arial" w:hAnsi="Arial"/>
                <w:b w:val="0"/>
                <w:color w:val="171918"/>
                <w:sz w:val="15"/>
              </w:rPr>
              <w:t>La France insoumise</w:t>
            </w:r>
          </w:p>
        </w:tc>
        <w:tc>
          <w:tcPr>
            <w:tcW w:type="dxa" w:w="1250"/>
            <w:shd w:fill="FFFDF9"/>
            <w:tcMar>
              <w:top w:w="70" w:type="dxa"/>
              <w:start w:w="80" w:type="dxa"/>
              <w:bottom w:w="70" w:type="dxa"/>
              <w:end w:w="80" w:type="dxa"/>
            </w:tcMar>
            <w:vAlign w:val="center"/>
            <w:tcBorders>
              <w:bottom w:val="single" w:sz="4" w:color="D9D3C7"/>
            </w:tcBorders>
          </w:tcPr>
          <w:p>
            <w:pPr>
              <w:jc w:val="center"/>
            </w:pPr>
            <w:r>
              <w:rPr>
                <w:rFonts w:ascii="Arial" w:hAnsi="Arial"/>
                <w:b/>
                <w:color w:val="719A39"/>
                <w:sz w:val="15"/>
              </w:rPr>
              <w:t>68/100</w:t>
            </w:r>
          </w:p>
        </w:tc>
        <w:tc>
          <w:tcPr>
            <w:tcW w:type="dxa" w:w="1360"/>
            <w:shd w:fill="FFFDF9"/>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Élevée</w:t>
            </w:r>
          </w:p>
        </w:tc>
      </w:tr>
      <w:tr>
        <w:tc>
          <w:tcPr>
            <w:tcW w:type="dxa" w:w="980"/>
            <w:shd w:fill="F1ECE2"/>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5e ex æquo</w:t>
            </w:r>
          </w:p>
        </w:tc>
        <w:tc>
          <w:tcPr>
            <w:tcW w:type="dxa" w:w="2650"/>
            <w:shd w:fill="F1ECE2"/>
            <w:tcMar>
              <w:top w:w="70" w:type="dxa"/>
              <w:start w:w="80" w:type="dxa"/>
              <w:bottom w:w="70" w:type="dxa"/>
              <w:end w:w="80" w:type="dxa"/>
            </w:tcMar>
            <w:vAlign w:val="center"/>
            <w:tcBorders>
              <w:bottom w:val="single" w:sz="4" w:color="D9D3C7"/>
            </w:tcBorders>
          </w:tcPr>
          <w:p>
            <w:pPr>
              <w:jc w:val="left"/>
            </w:pPr>
            <w:r>
              <w:rPr>
                <w:rFonts w:ascii="Arial" w:hAnsi="Arial"/>
                <w:b/>
                <w:color w:val="171918"/>
                <w:sz w:val="15"/>
              </w:rPr>
              <w:t>Édouard Philippe</w:t>
            </w:r>
          </w:p>
        </w:tc>
        <w:tc>
          <w:tcPr>
            <w:tcW w:type="dxa" w:w="3000"/>
            <w:shd w:fill="F1ECE2"/>
            <w:tcMar>
              <w:top w:w="70" w:type="dxa"/>
              <w:start w:w="80" w:type="dxa"/>
              <w:bottom w:w="70" w:type="dxa"/>
              <w:end w:w="80" w:type="dxa"/>
            </w:tcMar>
            <w:vAlign w:val="center"/>
            <w:tcBorders>
              <w:bottom w:val="single" w:sz="4" w:color="D9D3C7"/>
            </w:tcBorders>
          </w:tcPr>
          <w:p>
            <w:pPr>
              <w:jc w:val="left"/>
            </w:pPr>
            <w:r>
              <w:rPr>
                <w:rFonts w:ascii="Arial" w:hAnsi="Arial"/>
                <w:b w:val="0"/>
                <w:color w:val="171918"/>
                <w:sz w:val="15"/>
              </w:rPr>
              <w:t>Horizons</w:t>
            </w:r>
          </w:p>
        </w:tc>
        <w:tc>
          <w:tcPr>
            <w:tcW w:type="dxa" w:w="1250"/>
            <w:shd w:fill="F1ECE2"/>
            <w:tcMar>
              <w:top w:w="70" w:type="dxa"/>
              <w:start w:w="80" w:type="dxa"/>
              <w:bottom w:w="70" w:type="dxa"/>
              <w:end w:w="80" w:type="dxa"/>
            </w:tcMar>
            <w:vAlign w:val="center"/>
            <w:tcBorders>
              <w:bottom w:val="single" w:sz="4" w:color="D9D3C7"/>
            </w:tcBorders>
          </w:tcPr>
          <w:p>
            <w:pPr>
              <w:jc w:val="center"/>
            </w:pPr>
            <w:r>
              <w:rPr>
                <w:rFonts w:ascii="Arial" w:hAnsi="Arial"/>
                <w:b/>
                <w:color w:val="719A39"/>
                <w:sz w:val="15"/>
              </w:rPr>
              <w:t>68/100</w:t>
            </w:r>
          </w:p>
        </w:tc>
        <w:tc>
          <w:tcPr>
            <w:tcW w:type="dxa" w:w="1360"/>
            <w:shd w:fill="F1ECE2"/>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Moyenne</w:t>
            </w:r>
          </w:p>
        </w:tc>
      </w:tr>
      <w:tr>
        <w:tc>
          <w:tcPr>
            <w:tcW w:type="dxa" w:w="980"/>
            <w:shd w:fill="FFFDF9"/>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7e</w:t>
            </w:r>
          </w:p>
        </w:tc>
        <w:tc>
          <w:tcPr>
            <w:tcW w:type="dxa" w:w="2650"/>
            <w:shd w:fill="FFFDF9"/>
            <w:tcMar>
              <w:top w:w="70" w:type="dxa"/>
              <w:start w:w="80" w:type="dxa"/>
              <w:bottom w:w="70" w:type="dxa"/>
              <w:end w:w="80" w:type="dxa"/>
            </w:tcMar>
            <w:vAlign w:val="center"/>
            <w:tcBorders>
              <w:bottom w:val="single" w:sz="4" w:color="D9D3C7"/>
            </w:tcBorders>
          </w:tcPr>
          <w:p>
            <w:pPr>
              <w:jc w:val="left"/>
            </w:pPr>
            <w:r>
              <w:rPr>
                <w:rFonts w:ascii="Arial" w:hAnsi="Arial"/>
                <w:b/>
                <w:color w:val="171918"/>
                <w:sz w:val="15"/>
              </w:rPr>
              <w:t>Fabien Roussel</w:t>
            </w:r>
          </w:p>
        </w:tc>
        <w:tc>
          <w:tcPr>
            <w:tcW w:type="dxa" w:w="3000"/>
            <w:shd w:fill="FFFDF9"/>
            <w:tcMar>
              <w:top w:w="70" w:type="dxa"/>
              <w:start w:w="80" w:type="dxa"/>
              <w:bottom w:w="70" w:type="dxa"/>
              <w:end w:w="80" w:type="dxa"/>
            </w:tcMar>
            <w:vAlign w:val="center"/>
            <w:tcBorders>
              <w:bottom w:val="single" w:sz="4" w:color="D9D3C7"/>
            </w:tcBorders>
          </w:tcPr>
          <w:p>
            <w:pPr>
              <w:jc w:val="left"/>
            </w:pPr>
            <w:r>
              <w:rPr>
                <w:rFonts w:ascii="Arial" w:hAnsi="Arial"/>
                <w:b w:val="0"/>
                <w:color w:val="171918"/>
                <w:sz w:val="15"/>
              </w:rPr>
              <w:t>Parti communiste français</w:t>
            </w:r>
          </w:p>
        </w:tc>
        <w:tc>
          <w:tcPr>
            <w:tcW w:type="dxa" w:w="1250"/>
            <w:shd w:fill="FFFDF9"/>
            <w:tcMar>
              <w:top w:w="70" w:type="dxa"/>
              <w:start w:w="80" w:type="dxa"/>
              <w:bottom w:w="70" w:type="dxa"/>
              <w:end w:w="80" w:type="dxa"/>
            </w:tcMar>
            <w:vAlign w:val="center"/>
            <w:tcBorders>
              <w:bottom w:val="single" w:sz="4" w:color="D9D3C7"/>
            </w:tcBorders>
          </w:tcPr>
          <w:p>
            <w:pPr>
              <w:jc w:val="center"/>
            </w:pPr>
            <w:r>
              <w:rPr>
                <w:rFonts w:ascii="Arial" w:hAnsi="Arial"/>
                <w:b/>
                <w:color w:val="719A39"/>
                <w:sz w:val="15"/>
              </w:rPr>
              <w:t>63/100</w:t>
            </w:r>
          </w:p>
        </w:tc>
        <w:tc>
          <w:tcPr>
            <w:tcW w:type="dxa" w:w="1360"/>
            <w:shd w:fill="FFFDF9"/>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Moyenne à élevée</w:t>
            </w:r>
          </w:p>
        </w:tc>
      </w:tr>
      <w:tr>
        <w:tc>
          <w:tcPr>
            <w:tcW w:type="dxa" w:w="980"/>
            <w:shd w:fill="F1ECE2"/>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8e</w:t>
            </w:r>
          </w:p>
        </w:tc>
        <w:tc>
          <w:tcPr>
            <w:tcW w:type="dxa" w:w="2650"/>
            <w:shd w:fill="F1ECE2"/>
            <w:tcMar>
              <w:top w:w="70" w:type="dxa"/>
              <w:start w:w="80" w:type="dxa"/>
              <w:bottom w:w="70" w:type="dxa"/>
              <w:end w:w="80" w:type="dxa"/>
            </w:tcMar>
            <w:vAlign w:val="center"/>
            <w:tcBorders>
              <w:bottom w:val="single" w:sz="4" w:color="D9D3C7"/>
            </w:tcBorders>
          </w:tcPr>
          <w:p>
            <w:pPr>
              <w:jc w:val="left"/>
            </w:pPr>
            <w:r>
              <w:rPr>
                <w:rFonts w:ascii="Arial" w:hAnsi="Arial"/>
                <w:b/>
                <w:color w:val="171918"/>
                <w:sz w:val="15"/>
              </w:rPr>
              <w:t>Bruno Retailleau</w:t>
            </w:r>
          </w:p>
        </w:tc>
        <w:tc>
          <w:tcPr>
            <w:tcW w:type="dxa" w:w="3000"/>
            <w:shd w:fill="F1ECE2"/>
            <w:tcMar>
              <w:top w:w="70" w:type="dxa"/>
              <w:start w:w="80" w:type="dxa"/>
              <w:bottom w:w="70" w:type="dxa"/>
              <w:end w:w="80" w:type="dxa"/>
            </w:tcMar>
            <w:vAlign w:val="center"/>
            <w:tcBorders>
              <w:bottom w:val="single" w:sz="4" w:color="D9D3C7"/>
            </w:tcBorders>
          </w:tcPr>
          <w:p>
            <w:pPr>
              <w:jc w:val="left"/>
            </w:pPr>
            <w:r>
              <w:rPr>
                <w:rFonts w:ascii="Arial" w:hAnsi="Arial"/>
                <w:b w:val="0"/>
                <w:color w:val="171918"/>
                <w:sz w:val="15"/>
              </w:rPr>
              <w:t>Les Républicains</w:t>
            </w:r>
          </w:p>
        </w:tc>
        <w:tc>
          <w:tcPr>
            <w:tcW w:type="dxa" w:w="1250"/>
            <w:shd w:fill="F1ECE2"/>
            <w:tcMar>
              <w:top w:w="70" w:type="dxa"/>
              <w:start w:w="80" w:type="dxa"/>
              <w:bottom w:w="70" w:type="dxa"/>
              <w:end w:w="80" w:type="dxa"/>
            </w:tcMar>
            <w:vAlign w:val="center"/>
            <w:tcBorders>
              <w:bottom w:val="single" w:sz="4" w:color="D9D3C7"/>
            </w:tcBorders>
          </w:tcPr>
          <w:p>
            <w:pPr>
              <w:jc w:val="center"/>
            </w:pPr>
            <w:r>
              <w:rPr>
                <w:rFonts w:ascii="Arial" w:hAnsi="Arial"/>
                <w:b/>
                <w:color w:val="D6A900"/>
                <w:sz w:val="15"/>
              </w:rPr>
              <w:t>49/100</w:t>
            </w:r>
          </w:p>
        </w:tc>
        <w:tc>
          <w:tcPr>
            <w:tcW w:type="dxa" w:w="1360"/>
            <w:shd w:fill="F1ECE2"/>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Moyenne</w:t>
            </w:r>
          </w:p>
        </w:tc>
      </w:tr>
      <w:tr>
        <w:tc>
          <w:tcPr>
            <w:tcW w:type="dxa" w:w="980"/>
            <w:shd w:fill="FFFDF9"/>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9e</w:t>
            </w:r>
          </w:p>
        </w:tc>
        <w:tc>
          <w:tcPr>
            <w:tcW w:type="dxa" w:w="2650"/>
            <w:shd w:fill="FFFDF9"/>
            <w:tcMar>
              <w:top w:w="70" w:type="dxa"/>
              <w:start w:w="80" w:type="dxa"/>
              <w:bottom w:w="70" w:type="dxa"/>
              <w:end w:w="80" w:type="dxa"/>
            </w:tcMar>
            <w:vAlign w:val="center"/>
            <w:tcBorders>
              <w:bottom w:val="single" w:sz="4" w:color="D9D3C7"/>
            </w:tcBorders>
          </w:tcPr>
          <w:p>
            <w:pPr>
              <w:jc w:val="left"/>
            </w:pPr>
            <w:r>
              <w:rPr>
                <w:rFonts w:ascii="Arial" w:hAnsi="Arial"/>
                <w:b/>
                <w:color w:val="171918"/>
                <w:sz w:val="15"/>
              </w:rPr>
              <w:t>Marine Le Pen</w:t>
            </w:r>
          </w:p>
        </w:tc>
        <w:tc>
          <w:tcPr>
            <w:tcW w:type="dxa" w:w="3000"/>
            <w:shd w:fill="FFFDF9"/>
            <w:tcMar>
              <w:top w:w="70" w:type="dxa"/>
              <w:start w:w="80" w:type="dxa"/>
              <w:bottom w:w="70" w:type="dxa"/>
              <w:end w:w="80" w:type="dxa"/>
            </w:tcMar>
            <w:vAlign w:val="center"/>
            <w:tcBorders>
              <w:bottom w:val="single" w:sz="4" w:color="D9D3C7"/>
            </w:tcBorders>
          </w:tcPr>
          <w:p>
            <w:pPr>
              <w:jc w:val="left"/>
            </w:pPr>
            <w:r>
              <w:rPr>
                <w:rFonts w:ascii="Arial" w:hAnsi="Arial"/>
                <w:b w:val="0"/>
                <w:color w:val="171918"/>
                <w:sz w:val="15"/>
              </w:rPr>
              <w:t>Rassemblement national</w:t>
            </w:r>
          </w:p>
        </w:tc>
        <w:tc>
          <w:tcPr>
            <w:tcW w:type="dxa" w:w="1250"/>
            <w:shd w:fill="FFFDF9"/>
            <w:tcMar>
              <w:top w:w="70" w:type="dxa"/>
              <w:start w:w="80" w:type="dxa"/>
              <w:bottom w:w="70" w:type="dxa"/>
              <w:end w:w="80" w:type="dxa"/>
            </w:tcMar>
            <w:vAlign w:val="center"/>
            <w:tcBorders>
              <w:bottom w:val="single" w:sz="4" w:color="D9D3C7"/>
            </w:tcBorders>
          </w:tcPr>
          <w:p>
            <w:pPr>
              <w:jc w:val="center"/>
            </w:pPr>
            <w:r>
              <w:rPr>
                <w:rFonts w:ascii="Arial" w:hAnsi="Arial"/>
                <w:b/>
                <w:color w:val="E65117"/>
                <w:sz w:val="15"/>
              </w:rPr>
              <w:t>29/100</w:t>
            </w:r>
          </w:p>
        </w:tc>
        <w:tc>
          <w:tcPr>
            <w:tcW w:type="dxa" w:w="1360"/>
            <w:shd w:fill="FFFDF9"/>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Moyenne à élevée</w:t>
            </w:r>
          </w:p>
        </w:tc>
      </w:tr>
      <w:tr>
        <w:tc>
          <w:tcPr>
            <w:tcW w:type="dxa" w:w="980"/>
            <w:shd w:fill="F1ECE2"/>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10e</w:t>
            </w:r>
          </w:p>
        </w:tc>
        <w:tc>
          <w:tcPr>
            <w:tcW w:type="dxa" w:w="2650"/>
            <w:shd w:fill="F1ECE2"/>
            <w:tcMar>
              <w:top w:w="70" w:type="dxa"/>
              <w:start w:w="80" w:type="dxa"/>
              <w:bottom w:w="70" w:type="dxa"/>
              <w:end w:w="80" w:type="dxa"/>
            </w:tcMar>
            <w:vAlign w:val="center"/>
            <w:tcBorders>
              <w:bottom w:val="single" w:sz="4" w:color="D9D3C7"/>
            </w:tcBorders>
          </w:tcPr>
          <w:p>
            <w:pPr>
              <w:jc w:val="left"/>
            </w:pPr>
            <w:r>
              <w:rPr>
                <w:rFonts w:ascii="Arial" w:hAnsi="Arial"/>
                <w:b/>
                <w:color w:val="171918"/>
                <w:sz w:val="15"/>
              </w:rPr>
              <w:t>Éric Zemmour</w:t>
            </w:r>
          </w:p>
        </w:tc>
        <w:tc>
          <w:tcPr>
            <w:tcW w:type="dxa" w:w="3000"/>
            <w:shd w:fill="F1ECE2"/>
            <w:tcMar>
              <w:top w:w="70" w:type="dxa"/>
              <w:start w:w="80" w:type="dxa"/>
              <w:bottom w:w="70" w:type="dxa"/>
              <w:end w:w="80" w:type="dxa"/>
            </w:tcMar>
            <w:vAlign w:val="center"/>
            <w:tcBorders>
              <w:bottom w:val="single" w:sz="4" w:color="D9D3C7"/>
            </w:tcBorders>
          </w:tcPr>
          <w:p>
            <w:pPr>
              <w:jc w:val="left"/>
            </w:pPr>
            <w:r>
              <w:rPr>
                <w:rFonts w:ascii="Arial" w:hAnsi="Arial"/>
                <w:b w:val="0"/>
                <w:color w:val="171918"/>
                <w:sz w:val="15"/>
              </w:rPr>
              <w:t>Reconquête</w:t>
            </w:r>
          </w:p>
        </w:tc>
        <w:tc>
          <w:tcPr>
            <w:tcW w:type="dxa" w:w="1250"/>
            <w:shd w:fill="F1ECE2"/>
            <w:tcMar>
              <w:top w:w="70" w:type="dxa"/>
              <w:start w:w="80" w:type="dxa"/>
              <w:bottom w:w="70" w:type="dxa"/>
              <w:end w:w="80" w:type="dxa"/>
            </w:tcMar>
            <w:vAlign w:val="center"/>
            <w:tcBorders>
              <w:bottom w:val="single" w:sz="4" w:color="D9D3C7"/>
            </w:tcBorders>
          </w:tcPr>
          <w:p>
            <w:pPr>
              <w:jc w:val="center"/>
            </w:pPr>
            <w:r>
              <w:rPr>
                <w:rFonts w:ascii="Arial" w:hAnsi="Arial"/>
                <w:b/>
                <w:color w:val="E65117"/>
                <w:sz w:val="15"/>
              </w:rPr>
              <w:t>18/100</w:t>
            </w:r>
          </w:p>
        </w:tc>
        <w:tc>
          <w:tcPr>
            <w:tcW w:type="dxa" w:w="1360"/>
            <w:shd w:fill="F1ECE2"/>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Moyenne</w:t>
            </w:r>
          </w:p>
        </w:tc>
      </w:tr>
    </w:tbl>
    <w:p>
      <w:pPr>
        <w:spacing w:before="100" w:after="100"/>
      </w:pPr>
      <w:r>
        <w:rPr>
          <w:rFonts w:ascii="Arial" w:hAnsi="Arial"/>
          <w:color w:val="171918"/>
          <w:sz w:val="16"/>
        </w:rPr>
        <w:t>Glucksmann et Tondelier dominent. Ruffin devance légèrement Attal grâce au social, à la démocratie et à l’écologie, tandis qu’Attal obtient ses meilleurs résultats sur l’Europe, la défense et l’économie. Mélenchon et Philippe sont ex æquo avec des profils presque opposés.</w:t>
      </w:r>
    </w:p>
    <w:tbl>
      <w:tblPr>
        <w:tblW w:type="dxa" w:w="9240"/>
        <w:tblLayout w:type="fixed"/>
        <w:tblLook w:firstColumn="1" w:firstRow="1" w:lastColumn="0" w:lastRow="0" w:noHBand="0" w:noVBand="1" w:val="04A0"/>
        <w:tblInd w:w="120" w:type="dxa"/>
      </w:tblPr>
      <w:tblGrid>
        <w:gridCol w:w="9240"/>
      </w:tblGrid>
      <w:tr>
        <w:tc>
          <w:tcPr>
            <w:tcW w:type="dxa" w:w="9240"/>
            <w:shd w:fill="FFF7DF"/>
            <w:tcMar>
              <w:top w:w="115" w:type="dxa"/>
              <w:start w:w="140" w:type="dxa"/>
              <w:bottom w:w="115" w:type="dxa"/>
              <w:end w:w="140" w:type="dxa"/>
            </w:tcMar>
            <w:tcBorders>
              <w:top w:val="single" w:sz="8" w:color="502379"/>
              <w:start w:val="single" w:sz="8" w:color="502379"/>
              <w:bottom w:val="single" w:sz="8" w:color="502379"/>
              <w:end w:val="single" w:sz="8" w:color="502379"/>
            </w:tcBorders>
          </w:tcPr>
          <w:p>
            <w:pPr>
              <w:spacing w:after="40"/>
            </w:pPr>
            <w:r>
              <w:rPr>
                <w:rFonts w:ascii="Arial" w:hAnsi="Arial"/>
                <w:b/>
                <w:color w:val="502379"/>
                <w:sz w:val="18"/>
              </w:rPr>
              <w:t>Lecture prudente</w:t>
            </w:r>
          </w:p>
          <w:p>
            <w:pPr>
              <w:spacing w:after="0"/>
            </w:pPr>
            <w:r>
              <w:rPr>
                <w:rFonts w:ascii="Arial" w:hAnsi="Arial"/>
                <w:color w:val="171918"/>
                <w:sz w:val="16"/>
              </w:rPr>
              <w:t>Le classement ordonne des appréciations argumentées, pas des mesures exactes. Les écarts de 1 ou 2 points sont trop faibles pour être considérés comme décisifs.</w:t>
            </w:r>
          </w:p>
        </w:tc>
      </w:tr>
    </w:tbl>
    <w:p>
      <w:pPr>
        <w:spacing w:after="0" w:before="0"/>
      </w:pPr>
    </w:p>
    <w:p>
      <w:r>
        <w:br w:type="page"/>
      </w:r>
    </w:p>
    <w:p>
      <w:pPr>
        <w:spacing w:before="0" w:after="40"/>
      </w:pPr>
      <w:r>
        <w:rPr>
          <w:rFonts w:ascii="Arial" w:hAnsi="Arial"/>
          <w:b/>
          <w:color w:val="502379"/>
          <w:sz w:val="15"/>
        </w:rPr>
        <w:t>COMPARATIF · 10E / 8E</w:t>
      </w:r>
    </w:p>
    <w:p>
      <w:pPr>
        <w:pStyle w:val="Title"/>
        <w:spacing w:after="100"/>
        <w:pBdr>
          <w:bottom w:val="single" w:sz="8" w:space="3" w:color="502379"/>
        </w:pBdr>
      </w:pPr>
      <w:r>
        <w:rPr>
          <w:rFonts w:ascii="Arial" w:hAnsi="Arial"/>
          <w:b/>
          <w:color w:val="171918"/>
          <w:sz w:val="52"/>
        </w:rPr>
        <w:t>Éric Zemmour / Bruno Retailleau</w:t>
      </w:r>
    </w:p>
    <w:p>
      <w:pPr>
        <w:spacing w:after="140"/>
      </w:pPr>
      <w:r>
        <w:rPr>
          <w:rFonts w:ascii="Arial" w:hAnsi="Arial"/>
          <w:color w:val="6C6A66"/>
          <w:sz w:val="19"/>
        </w:rPr>
        <w:t>Vue synthétique ; la page suivante justifie chaque note globale sur 10.</w:t>
      </w:r>
    </w:p>
    <w:p>
      <w:pPr>
        <w:spacing w:after="80"/>
        <w:jc w:val="center"/>
      </w:pPr>
      <w:r>
        <w:drawing>
          <wp:inline xmlns:a="http://schemas.openxmlformats.org/drawingml/2006/main" xmlns:pic="http://schemas.openxmlformats.org/drawingml/2006/picture">
            <wp:extent cx="5715000" cy="4286250"/>
            <wp:docPr id="3" name="Picture 3"/>
            <wp:cNvGraphicFramePr>
              <a:graphicFrameLocks noChangeAspect="1"/>
            </wp:cNvGraphicFramePr>
            <a:graphic>
              <a:graphicData uri="http://schemas.openxmlformats.org/drawingml/2006/picture">
                <pic:pic>
                  <pic:nvPicPr>
                    <pic:cNvPr id="0" name="pair-01.png"/>
                    <pic:cNvPicPr/>
                  </pic:nvPicPr>
                  <pic:blipFill>
                    <a:blip r:embed="rId13"/>
                    <a:stretch>
                      <a:fillRect/>
                    </a:stretch>
                  </pic:blipFill>
                  <pic:spPr>
                    <a:xfrm>
                      <a:off x="0" y="0"/>
                      <a:ext cx="5715000" cy="4286250"/>
                    </a:xfrm>
                    <a:prstGeom prst="rect"/>
                  </pic:spPr>
                </pic:pic>
              </a:graphicData>
            </a:graphic>
          </wp:inline>
        </w:drawing>
      </w:r>
    </w:p>
    <w:tbl>
      <w:tblPr>
        <w:tblW w:type="dxa" w:w="9240"/>
        <w:tblLayout w:type="fixed"/>
        <w:tblLook w:firstColumn="1" w:firstRow="1" w:lastColumn="0" w:lastRow="0" w:noHBand="0" w:noVBand="1" w:val="04A0"/>
        <w:tblInd w:w="120" w:type="dxa"/>
      </w:tblPr>
      <w:tblGrid>
        <w:gridCol w:w="9240"/>
      </w:tblGrid>
      <w:tr>
        <w:tc>
          <w:tcPr>
            <w:tcW w:type="dxa" w:w="9240"/>
            <w:shd w:fill="F3F0E8"/>
            <w:tcMar>
              <w:top w:w="115" w:type="dxa"/>
              <w:start w:w="140" w:type="dxa"/>
              <w:bottom w:w="115" w:type="dxa"/>
              <w:end w:w="140" w:type="dxa"/>
            </w:tcMar>
            <w:tcBorders>
              <w:top w:val="single" w:sz="8" w:color="502379"/>
              <w:start w:val="single" w:sz="8" w:color="502379"/>
              <w:bottom w:val="single" w:sz="8" w:color="502379"/>
              <w:end w:val="single" w:sz="8" w:color="502379"/>
            </w:tcBorders>
          </w:tcPr>
          <w:p>
            <w:pPr>
              <w:spacing w:after="40"/>
            </w:pPr>
            <w:r>
              <w:rPr>
                <w:rFonts w:ascii="Arial" w:hAnsi="Arial"/>
                <w:b/>
                <w:color w:val="502379"/>
                <w:sz w:val="18"/>
              </w:rPr>
              <w:t>Qualité des sources</w:t>
            </w:r>
          </w:p>
          <w:p>
            <w:pPr>
              <w:spacing w:after="0"/>
            </w:pPr>
            <w:r>
              <w:rPr>
                <w:rFonts w:ascii="Arial" w:hAnsi="Arial"/>
                <w:color w:val="171918"/>
                <w:sz w:val="16"/>
              </w:rPr>
              <w:t>Éric Zemmour : Programme présidentiel 2022 et prises de position ultérieures. Bruno Retailleau : Propositions LR et prises de position officielles ; programme exhaustif non publié.</w:t>
            </w:r>
          </w:p>
        </w:tc>
      </w:tr>
    </w:tbl>
    <w:p>
      <w:pPr>
        <w:spacing w:after="0" w:before="0"/>
      </w:pPr>
    </w:p>
    <w:p>
      <w:pPr>
        <w:sectPr>
          <w:headerReference w:type="default" r:id="rId9"/>
          <w:footerReference w:type="default" r:id="rId10"/>
          <w:pgSz w:w="12240" w:h="15840"/>
          <w:pgMar w:top="720" w:right="1440" w:bottom="720" w:left="1440" w:header="317" w:footer="317" w:gutter="0"/>
          <w:cols w:space="720"/>
          <w:docGrid w:linePitch="360"/>
        </w:sectPr>
      </w:pPr>
    </w:p>
    <w:p>
      <w:pPr>
        <w:spacing w:before="0" w:after="40"/>
      </w:pPr>
      <w:r>
        <w:rPr>
          <w:rFonts w:ascii="Arial" w:hAnsi="Arial"/>
          <w:b/>
          <w:color w:val="502379"/>
          <w:sz w:val="15"/>
        </w:rPr>
        <w:t>JUSTIFICATION DES NOTES</w:t>
      </w:r>
    </w:p>
    <w:p>
      <w:pPr>
        <w:pStyle w:val="Title"/>
        <w:spacing w:after="100"/>
        <w:pBdr>
          <w:bottom w:val="single" w:sz="8" w:space="3" w:color="502379"/>
        </w:pBdr>
      </w:pPr>
      <w:r>
        <w:rPr>
          <w:rFonts w:ascii="Arial" w:hAnsi="Arial"/>
          <w:b/>
          <w:color w:val="171918"/>
          <w:sz w:val="52"/>
        </w:rPr>
        <w:t>Éric Zemmour / Bruno Retailleau</w:t>
      </w:r>
    </w:p>
    <w:p>
      <w:pPr>
        <w:spacing w:after="140"/>
      </w:pPr>
      <w:r>
        <w:rPr>
          <w:rFonts w:ascii="Arial" w:hAnsi="Arial"/>
          <w:color w:val="6C6A66"/>
          <w:sz w:val="19"/>
        </w:rPr>
        <w:t>Chaque axe reçoit directement une note globale entière sur 10.</w:t>
      </w:r>
    </w:p>
    <w:tbl>
      <w:tblPr>
        <w:tblW w:type="dxa" w:w="13000"/>
        <w:tblLayout w:type="fixed"/>
        <w:tblLook w:firstColumn="1" w:firstRow="1" w:lastColumn="0" w:lastRow="0" w:noHBand="0" w:noVBand="1" w:val="04A0"/>
        <w:tblInd w:w="120" w:type="dxa"/>
      </w:tblPr>
      <w:tblGrid>
        <w:gridCol w:w="480"/>
        <w:gridCol w:w="2200"/>
        <w:gridCol w:w="4620"/>
        <w:gridCol w:w="540"/>
        <w:gridCol w:w="4620"/>
        <w:gridCol w:w="540"/>
      </w:tblGrid>
      <w:tr>
        <w:trPr>
          <w:tblHeader w:val="true"/>
        </w:trPr>
        <w:tc>
          <w:tcPr>
            <w:tcW w:type="dxa" w:w="480"/>
            <w:shd w:fill="171918"/>
            <w:tcMar>
              <w:top w:w="50" w:type="dxa"/>
              <w:start w:w="60" w:type="dxa"/>
              <w:bottom w:w="50" w:type="dxa"/>
              <w:end w:w="60" w:type="dxa"/>
            </w:tcMar>
            <w:vAlign w:val="center"/>
          </w:tcPr>
          <w:p>
            <w:pPr>
              <w:jc w:val="center"/>
            </w:pPr>
            <w:r>
              <w:rPr>
                <w:rFonts w:ascii="Arial" w:hAnsi="Arial"/>
                <w:b/>
                <w:color w:val="FFFFFF"/>
                <w:sz w:val="14"/>
              </w:rPr>
              <w:t>#</w:t>
            </w:r>
          </w:p>
        </w:tc>
        <w:tc>
          <w:tcPr>
            <w:tcW w:type="dxa" w:w="2200"/>
            <w:shd w:fill="171918"/>
            <w:tcMar>
              <w:top w:w="50" w:type="dxa"/>
              <w:start w:w="60" w:type="dxa"/>
              <w:bottom w:w="50" w:type="dxa"/>
              <w:end w:w="60" w:type="dxa"/>
            </w:tcMar>
            <w:vAlign w:val="center"/>
          </w:tcPr>
          <w:p>
            <w:pPr>
              <w:jc w:val="center"/>
            </w:pPr>
            <w:r>
              <w:rPr>
                <w:rFonts w:ascii="Arial" w:hAnsi="Arial"/>
                <w:b/>
                <w:color w:val="FFFFFF"/>
                <w:sz w:val="14"/>
              </w:rPr>
              <w:t>Axe</w:t>
            </w:r>
          </w:p>
        </w:tc>
        <w:tc>
          <w:tcPr>
            <w:tcW w:type="dxa" w:w="4620"/>
            <w:shd w:fill="171918"/>
            <w:tcMar>
              <w:top w:w="50" w:type="dxa"/>
              <w:start w:w="60" w:type="dxa"/>
              <w:bottom w:w="50" w:type="dxa"/>
              <w:end w:w="60" w:type="dxa"/>
            </w:tcMar>
            <w:vAlign w:val="center"/>
          </w:tcPr>
          <w:p>
            <w:pPr>
              <w:jc w:val="center"/>
            </w:pPr>
            <w:r>
              <w:rPr>
                <w:rFonts w:ascii="Arial" w:hAnsi="Arial"/>
                <w:b/>
                <w:color w:val="FFFFFF"/>
                <w:sz w:val="14"/>
              </w:rPr>
              <w:t>Éric Zemmour</w:t>
            </w:r>
          </w:p>
        </w:tc>
        <w:tc>
          <w:tcPr>
            <w:tcW w:type="dxa" w:w="540"/>
            <w:shd w:fill="171918"/>
            <w:tcMar>
              <w:top w:w="50" w:type="dxa"/>
              <w:start w:w="60" w:type="dxa"/>
              <w:bottom w:w="50" w:type="dxa"/>
              <w:end w:w="60" w:type="dxa"/>
            </w:tcMar>
            <w:vAlign w:val="center"/>
          </w:tcPr>
          <w:p>
            <w:pPr>
              <w:jc w:val="center"/>
            </w:pPr>
            <w:r>
              <w:rPr>
                <w:rFonts w:ascii="Arial" w:hAnsi="Arial"/>
                <w:b/>
                <w:color w:val="FFFFFF"/>
                <w:sz w:val="14"/>
              </w:rPr>
              <w:t>/10</w:t>
            </w:r>
          </w:p>
        </w:tc>
        <w:tc>
          <w:tcPr>
            <w:tcW w:type="dxa" w:w="4620"/>
            <w:shd w:fill="171918"/>
            <w:tcMar>
              <w:top w:w="50" w:type="dxa"/>
              <w:start w:w="60" w:type="dxa"/>
              <w:bottom w:w="50" w:type="dxa"/>
              <w:end w:w="60" w:type="dxa"/>
            </w:tcMar>
            <w:vAlign w:val="center"/>
          </w:tcPr>
          <w:p>
            <w:pPr>
              <w:jc w:val="center"/>
            </w:pPr>
            <w:r>
              <w:rPr>
                <w:rFonts w:ascii="Arial" w:hAnsi="Arial"/>
                <w:b/>
                <w:color w:val="FFFFFF"/>
                <w:sz w:val="14"/>
              </w:rPr>
              <w:t>Bruno Retailleau</w:t>
            </w:r>
          </w:p>
        </w:tc>
        <w:tc>
          <w:tcPr>
            <w:tcW w:type="dxa" w:w="540"/>
            <w:shd w:fill="171918"/>
            <w:tcMar>
              <w:top w:w="50" w:type="dxa"/>
              <w:start w:w="60" w:type="dxa"/>
              <w:bottom w:w="50" w:type="dxa"/>
              <w:end w:w="60" w:type="dxa"/>
            </w:tcMar>
            <w:vAlign w:val="center"/>
          </w:tcPr>
          <w:p>
            <w:pPr>
              <w:jc w:val="center"/>
            </w:pPr>
            <w:r>
              <w:rPr>
                <w:rFonts w:ascii="Arial" w:hAnsi="Arial"/>
                <w:b/>
                <w:color w:val="FFFFFF"/>
                <w:sz w:val="14"/>
              </w:rPr>
              <w:t>/10</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1</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Europe fédérale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Souverainisme intégral et primauté nationale opposés à toute fédéralisation européenne.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CC2A1F"/>
                <w:sz w:val="13"/>
              </w:rPr>
              <w:t>0</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Europe-puissance soutenue, mais refus d’un véritable fédéralisme et attachement au veto national.</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5</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2</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Démocratie &amp; État de droit</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Projet exécutif et illibéral, très éloigné des contre-pouvoirs et de la participation Volt.</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CC2A1F"/>
                <w:sz w:val="13"/>
              </w:rPr>
              <w:t>1</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État de droit formellement compatible, mais ligne d’ordre, médias et participation réduisent la proximité.</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3</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3</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Défense &amp; Ukraine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Refus d’une armée fédérale et ligne conciliante envers la Russie : divergence presque complète.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CC2A1F"/>
                <w:sz w:val="13"/>
              </w:rPr>
              <w:t>1</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Défense européenne et Ukraine convergent, dans une logique surtout intergouvernementale.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8</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4</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Économie &amp; innovation</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Production et innovation convergent partiellement, mais stratégie européenne commune reste faible.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5</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Marché, industrie, innovation et compétitivité européennes sont fortement compatibles.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8</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5</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Climat &amp; énergie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Nucléaire compatible ; refus des renouvelables, du prix carbone et de la sobriété.</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3</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Nucléaire et décarbonation convergent ; renouvelables, prix carbone et justice sociale moins.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6</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6</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Mobilités &amp; ressources</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Modèle automobile, faible circularité et peu de réduction de l’empreinte matérielle.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2</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Rail et économie circulaire partiels ; faible priorité à la réduction de l’empreinte matérielle.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F17A0B"/>
                <w:sz w:val="13"/>
              </w:rPr>
              <w:t>4</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7</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Social &amp; services publics</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Services essentiels maintenus, mais préférence nationale et réduction de l’État social divergent.</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2</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Services essentiels reconnus, mais baisse de dépense et droits sociaux éloignent le projet.</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3</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8</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Migration &amp; inclusion</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Immigration quasiment nulle et politique identitaire opposées à l’asile et à l’inclusion.</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CC2A1F"/>
                <w:sz w:val="13"/>
              </w:rPr>
              <w:t>0</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Politique migratoire très restrictive, opposée aux voies légales et à la solidarité d’accueil.</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CC2A1F"/>
                <w:sz w:val="13"/>
              </w:rPr>
              <w:t>1</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9</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Numérique &amp; communs</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Innovation reconnue, mais surveillance et faible priorité aux logiciels libres et aux données.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3</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Innovation compatible, mais surveillance accrue et faible priorité aux communs numériques.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F17A0B"/>
                <w:sz w:val="13"/>
              </w:rPr>
              <w:t>4</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10</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Diplomatie &amp; multilatéralisme</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Nationalisme, ligne russe et rejet de l’élargissement s’opposent à la diplomatie commune.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CC2A1F"/>
                <w:sz w:val="13"/>
              </w:rPr>
              <w:t>1</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Ukraine et influence européenne convergent ; droits humains et multilatéralisme sont plus sélectifs.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7</w:t>
            </w:r>
          </w:p>
        </w:tc>
      </w:tr>
    </w:tbl>
    <w:p>
      <w:pPr>
        <w:sectPr>
          <w:headerReference w:type="default" r:id="rId14"/>
          <w:footerReference w:type="default" r:id="rId15"/>
          <w:pgSz w:w="15840" w:h="12240" w:orient="landscape"/>
          <w:pgMar w:top="605" w:right="720" w:bottom="648" w:left="720" w:header="317" w:footer="317" w:gutter="0"/>
          <w:cols w:space="720"/>
          <w:docGrid w:linePitch="360"/>
        </w:sectPr>
      </w:pPr>
    </w:p>
    <w:p>
      <w:pPr>
        <w:spacing w:before="0" w:after="40"/>
      </w:pPr>
      <w:r>
        <w:rPr>
          <w:rFonts w:ascii="Arial" w:hAnsi="Arial"/>
          <w:b/>
          <w:color w:val="502379"/>
          <w:sz w:val="15"/>
        </w:rPr>
        <w:t>COMPARATIF · 9E / 5E EX ÆQUO</w:t>
      </w:r>
    </w:p>
    <w:p>
      <w:pPr>
        <w:pStyle w:val="Title"/>
        <w:spacing w:after="100"/>
        <w:pBdr>
          <w:bottom w:val="single" w:sz="8" w:space="3" w:color="502379"/>
        </w:pBdr>
      </w:pPr>
      <w:r>
        <w:rPr>
          <w:rFonts w:ascii="Arial" w:hAnsi="Arial"/>
          <w:b/>
          <w:color w:val="171918"/>
          <w:sz w:val="52"/>
        </w:rPr>
        <w:t>Marine Le Pen / Édouard Philippe</w:t>
      </w:r>
    </w:p>
    <w:p>
      <w:pPr>
        <w:spacing w:after="140"/>
      </w:pPr>
      <w:r>
        <w:rPr>
          <w:rFonts w:ascii="Arial" w:hAnsi="Arial"/>
          <w:color w:val="6C6A66"/>
          <w:sz w:val="19"/>
        </w:rPr>
        <w:t>Vue synthétique ; la page suivante justifie chaque note globale sur 10.</w:t>
      </w:r>
    </w:p>
    <w:p>
      <w:pPr>
        <w:spacing w:after="80"/>
        <w:jc w:val="center"/>
      </w:pPr>
      <w:r>
        <w:drawing>
          <wp:inline xmlns:a="http://schemas.openxmlformats.org/drawingml/2006/main" xmlns:pic="http://schemas.openxmlformats.org/drawingml/2006/picture">
            <wp:extent cx="5715000" cy="4286250"/>
            <wp:docPr id="4" name="Picture 4"/>
            <wp:cNvGraphicFramePr>
              <a:graphicFrameLocks noChangeAspect="1"/>
            </wp:cNvGraphicFramePr>
            <a:graphic>
              <a:graphicData uri="http://schemas.openxmlformats.org/drawingml/2006/picture">
                <pic:pic>
                  <pic:nvPicPr>
                    <pic:cNvPr id="0" name="pair-02.png"/>
                    <pic:cNvPicPr/>
                  </pic:nvPicPr>
                  <pic:blipFill>
                    <a:blip r:embed="rId18"/>
                    <a:stretch>
                      <a:fillRect/>
                    </a:stretch>
                  </pic:blipFill>
                  <pic:spPr>
                    <a:xfrm>
                      <a:off x="0" y="0"/>
                      <a:ext cx="5715000" cy="4286250"/>
                    </a:xfrm>
                    <a:prstGeom prst="rect"/>
                  </pic:spPr>
                </pic:pic>
              </a:graphicData>
            </a:graphic>
          </wp:inline>
        </w:drawing>
      </w:r>
    </w:p>
    <w:tbl>
      <w:tblPr>
        <w:tblW w:type="dxa" w:w="9240"/>
        <w:tblLayout w:type="fixed"/>
        <w:tblLook w:firstColumn="1" w:firstRow="1" w:lastColumn="0" w:lastRow="0" w:noHBand="0" w:noVBand="1" w:val="04A0"/>
        <w:tblInd w:w="120" w:type="dxa"/>
      </w:tblPr>
      <w:tblGrid>
        <w:gridCol w:w="9240"/>
      </w:tblGrid>
      <w:tr>
        <w:tc>
          <w:tcPr>
            <w:tcW w:type="dxa" w:w="9240"/>
            <w:shd w:fill="F3F0E8"/>
            <w:tcMar>
              <w:top w:w="115" w:type="dxa"/>
              <w:start w:w="140" w:type="dxa"/>
              <w:bottom w:w="115" w:type="dxa"/>
              <w:end w:w="140" w:type="dxa"/>
            </w:tcMar>
            <w:tcBorders>
              <w:top w:val="single" w:sz="8" w:color="502379"/>
              <w:start w:val="single" w:sz="8" w:color="502379"/>
              <w:bottom w:val="single" w:sz="8" w:color="502379"/>
              <w:end w:val="single" w:sz="8" w:color="502379"/>
            </w:tcBorders>
          </w:tcPr>
          <w:p>
            <w:pPr>
              <w:spacing w:after="40"/>
            </w:pPr>
            <w:r>
              <w:rPr>
                <w:rFonts w:ascii="Arial" w:hAnsi="Arial"/>
                <w:b/>
                <w:color w:val="502379"/>
                <w:sz w:val="18"/>
              </w:rPr>
              <w:t>Qualité des sources</w:t>
            </w:r>
          </w:p>
          <w:p>
            <w:pPr>
              <w:spacing w:after="0"/>
            </w:pPr>
            <w:r>
              <w:rPr>
                <w:rFonts w:ascii="Arial" w:hAnsi="Arial"/>
                <w:color w:val="171918"/>
                <w:sz w:val="16"/>
              </w:rPr>
              <w:t>Marine Le Pen : Programmes RN 2022-2024 et prises de position publiques. Édouard Philippe : Orientations d’Horizons et discours d’Édouard Philippe ; programme 2027 incomplet.</w:t>
            </w:r>
          </w:p>
        </w:tc>
      </w:tr>
    </w:tbl>
    <w:p>
      <w:pPr>
        <w:spacing w:after="0" w:before="0"/>
      </w:pPr>
    </w:p>
    <w:p>
      <w:pPr>
        <w:sectPr>
          <w:headerReference w:type="default" r:id="rId16"/>
          <w:footerReference w:type="default" r:id="rId17"/>
          <w:pgSz w:w="12240" w:h="15840"/>
          <w:pgMar w:top="720" w:right="1440" w:bottom="720" w:left="1440" w:header="317" w:footer="317" w:gutter="0"/>
          <w:cols w:space="720"/>
          <w:docGrid w:linePitch="360"/>
        </w:sectPr>
      </w:pPr>
    </w:p>
    <w:p>
      <w:pPr>
        <w:spacing w:before="0" w:after="40"/>
      </w:pPr>
      <w:r>
        <w:rPr>
          <w:rFonts w:ascii="Arial" w:hAnsi="Arial"/>
          <w:b/>
          <w:color w:val="502379"/>
          <w:sz w:val="15"/>
        </w:rPr>
        <w:t>JUSTIFICATION DES NOTES</w:t>
      </w:r>
    </w:p>
    <w:p>
      <w:pPr>
        <w:pStyle w:val="Title"/>
        <w:spacing w:after="100"/>
        <w:pBdr>
          <w:bottom w:val="single" w:sz="8" w:space="3" w:color="502379"/>
        </w:pBdr>
      </w:pPr>
      <w:r>
        <w:rPr>
          <w:rFonts w:ascii="Arial" w:hAnsi="Arial"/>
          <w:b/>
          <w:color w:val="171918"/>
          <w:sz w:val="52"/>
        </w:rPr>
        <w:t>Marine Le Pen / Édouard Philippe</w:t>
      </w:r>
    </w:p>
    <w:p>
      <w:pPr>
        <w:spacing w:after="140"/>
      </w:pPr>
      <w:r>
        <w:rPr>
          <w:rFonts w:ascii="Arial" w:hAnsi="Arial"/>
          <w:color w:val="6C6A66"/>
          <w:sz w:val="19"/>
        </w:rPr>
        <w:t>Chaque axe reçoit directement une note globale entière sur 10.</w:t>
      </w:r>
    </w:p>
    <w:tbl>
      <w:tblPr>
        <w:tblW w:type="dxa" w:w="13000"/>
        <w:tblLayout w:type="fixed"/>
        <w:tblLook w:firstColumn="1" w:firstRow="1" w:lastColumn="0" w:lastRow="0" w:noHBand="0" w:noVBand="1" w:val="04A0"/>
        <w:tblInd w:w="120" w:type="dxa"/>
      </w:tblPr>
      <w:tblGrid>
        <w:gridCol w:w="480"/>
        <w:gridCol w:w="2200"/>
        <w:gridCol w:w="4620"/>
        <w:gridCol w:w="540"/>
        <w:gridCol w:w="4620"/>
        <w:gridCol w:w="540"/>
      </w:tblGrid>
      <w:tr>
        <w:trPr>
          <w:tblHeader w:val="true"/>
        </w:trPr>
        <w:tc>
          <w:tcPr>
            <w:tcW w:type="dxa" w:w="480"/>
            <w:shd w:fill="171918"/>
            <w:tcMar>
              <w:top w:w="50" w:type="dxa"/>
              <w:start w:w="60" w:type="dxa"/>
              <w:bottom w:w="50" w:type="dxa"/>
              <w:end w:w="60" w:type="dxa"/>
            </w:tcMar>
            <w:vAlign w:val="center"/>
          </w:tcPr>
          <w:p>
            <w:pPr>
              <w:jc w:val="center"/>
            </w:pPr>
            <w:r>
              <w:rPr>
                <w:rFonts w:ascii="Arial" w:hAnsi="Arial"/>
                <w:b/>
                <w:color w:val="FFFFFF"/>
                <w:sz w:val="14"/>
              </w:rPr>
              <w:t>#</w:t>
            </w:r>
          </w:p>
        </w:tc>
        <w:tc>
          <w:tcPr>
            <w:tcW w:type="dxa" w:w="2200"/>
            <w:shd w:fill="171918"/>
            <w:tcMar>
              <w:top w:w="50" w:type="dxa"/>
              <w:start w:w="60" w:type="dxa"/>
              <w:bottom w:w="50" w:type="dxa"/>
              <w:end w:w="60" w:type="dxa"/>
            </w:tcMar>
            <w:vAlign w:val="center"/>
          </w:tcPr>
          <w:p>
            <w:pPr>
              <w:jc w:val="center"/>
            </w:pPr>
            <w:r>
              <w:rPr>
                <w:rFonts w:ascii="Arial" w:hAnsi="Arial"/>
                <w:b/>
                <w:color w:val="FFFFFF"/>
                <w:sz w:val="14"/>
              </w:rPr>
              <w:t>Axe</w:t>
            </w:r>
          </w:p>
        </w:tc>
        <w:tc>
          <w:tcPr>
            <w:tcW w:type="dxa" w:w="4620"/>
            <w:shd w:fill="171918"/>
            <w:tcMar>
              <w:top w:w="50" w:type="dxa"/>
              <w:start w:w="60" w:type="dxa"/>
              <w:bottom w:w="50" w:type="dxa"/>
              <w:end w:w="60" w:type="dxa"/>
            </w:tcMar>
            <w:vAlign w:val="center"/>
          </w:tcPr>
          <w:p>
            <w:pPr>
              <w:jc w:val="center"/>
            </w:pPr>
            <w:r>
              <w:rPr>
                <w:rFonts w:ascii="Arial" w:hAnsi="Arial"/>
                <w:b/>
                <w:color w:val="FFFFFF"/>
                <w:sz w:val="14"/>
              </w:rPr>
              <w:t>Marine Le Pen</w:t>
            </w:r>
          </w:p>
        </w:tc>
        <w:tc>
          <w:tcPr>
            <w:tcW w:type="dxa" w:w="540"/>
            <w:shd w:fill="171918"/>
            <w:tcMar>
              <w:top w:w="50" w:type="dxa"/>
              <w:start w:w="60" w:type="dxa"/>
              <w:bottom w:w="50" w:type="dxa"/>
              <w:end w:w="60" w:type="dxa"/>
            </w:tcMar>
            <w:vAlign w:val="center"/>
          </w:tcPr>
          <w:p>
            <w:pPr>
              <w:jc w:val="center"/>
            </w:pPr>
            <w:r>
              <w:rPr>
                <w:rFonts w:ascii="Arial" w:hAnsi="Arial"/>
                <w:b/>
                <w:color w:val="FFFFFF"/>
                <w:sz w:val="14"/>
              </w:rPr>
              <w:t>/10</w:t>
            </w:r>
          </w:p>
        </w:tc>
        <w:tc>
          <w:tcPr>
            <w:tcW w:type="dxa" w:w="4620"/>
            <w:shd w:fill="171918"/>
            <w:tcMar>
              <w:top w:w="50" w:type="dxa"/>
              <w:start w:w="60" w:type="dxa"/>
              <w:bottom w:w="50" w:type="dxa"/>
              <w:end w:w="60" w:type="dxa"/>
            </w:tcMar>
            <w:vAlign w:val="center"/>
          </w:tcPr>
          <w:p>
            <w:pPr>
              <w:jc w:val="center"/>
            </w:pPr>
            <w:r>
              <w:rPr>
                <w:rFonts w:ascii="Arial" w:hAnsi="Arial"/>
                <w:b/>
                <w:color w:val="FFFFFF"/>
                <w:sz w:val="14"/>
              </w:rPr>
              <w:t>Édouard Philippe</w:t>
            </w:r>
          </w:p>
        </w:tc>
        <w:tc>
          <w:tcPr>
            <w:tcW w:type="dxa" w:w="540"/>
            <w:shd w:fill="171918"/>
            <w:tcMar>
              <w:top w:w="50" w:type="dxa"/>
              <w:start w:w="60" w:type="dxa"/>
              <w:bottom w:w="50" w:type="dxa"/>
              <w:end w:w="60" w:type="dxa"/>
            </w:tcMar>
            <w:vAlign w:val="center"/>
          </w:tcPr>
          <w:p>
            <w:pPr>
              <w:jc w:val="center"/>
            </w:pPr>
            <w:r>
              <w:rPr>
                <w:rFonts w:ascii="Arial" w:hAnsi="Arial"/>
                <w:b/>
                <w:color w:val="FFFFFF"/>
                <w:sz w:val="14"/>
              </w:rPr>
              <w:t>/10</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1</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Europe fédérale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Europe des nations et primauté nationale directement opposées au projet fédéral de Volt.</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CC2A1F"/>
                <w:sz w:val="13"/>
              </w:rPr>
              <w:t>1</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Européen intégrationniste, mais fédéralisme constitutionnel et gouvernement européen moins assumés.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8</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2</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Démocratie &amp; État de droit</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Référendum et proportionnelle apportent quelques points, mais contre-pouvoirs et médias divergent.</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3</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État de droit compatible ; participation citoyenne, médias et contre-pouvoirs moins développés.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5</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3</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Défense &amp; Ukraine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Défense nationale et soutien défensif limité à l’Ukraine, avec une ligne historiquement prorusse.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2</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Défense européenne, autonomie stratégique et Ukraine très convergentes.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4</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Économie &amp; innovation</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Relocalisation et industrie convergent partiellement ; marché unique et fiscalité européenne divergent.</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5</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Très forte compatibilité sur marché, innovation, industrie et compétitivité européennes.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5</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Climat &amp; énergie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Nucléaire compatible, mais hostilité aux renouvelables et recul sur plusieurs politiques climatiques.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F17A0B"/>
                <w:sz w:val="13"/>
              </w:rPr>
              <w:t>4</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Mix nucléaire-renouvelables et électrification proches ; ambition 2040 et justice sociale plus faibles.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8</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6</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Mobilités &amp; ressources</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Quelques mesures ferroviaires, mais modèle automobile et faible circularité.</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3</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Modernisation ferroviaire et circularité partielles, avec une ligne moins sobre.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6</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7</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Social &amp; services publics</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Protection sociale affichée, mais préférence nationale et financement créent une divergence majeure.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5</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Services essentiels maintenus, mais réduction de la dépense et protection sociale créent un écart.</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F17A0B"/>
                <w:sz w:val="13"/>
              </w:rPr>
              <w:t>4</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8</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Migration &amp; inclusion</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Immigration quasi fermée et préférence nationale opposées au référentiel humaniste et légal de Volt.</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CC2A1F"/>
                <w:sz w:val="13"/>
              </w:rPr>
              <w:t>0</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Politique migratoire plus restrictive et moins favorable aux voies légales et à la solidarité obligatoire.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F17A0B"/>
                <w:sz w:val="13"/>
              </w:rPr>
              <w:t>4</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9</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Numérique &amp; communs</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Protection des mineurs et souveraineté numérique partielles, dans une doctrine plus sécuritaire.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F17A0B"/>
                <w:sz w:val="13"/>
              </w:rPr>
              <w:t>4</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Innovation et IA compatibles ; données, logiciels libres et neutralité moins documentés.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6</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10</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Diplomatie &amp; multilatéralisme</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Souverainisme, hostilité à l’élargissement et ligne russe éloignent fortement du multilatéralisme Volt.</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2</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Politique étrangère commune, Ukraine, élargissement et multilatéralisme très compatibles.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r>
    </w:tbl>
    <w:p>
      <w:pPr>
        <w:sectPr>
          <w:headerReference w:type="default" r:id="rId19"/>
          <w:footerReference w:type="default" r:id="rId20"/>
          <w:pgSz w:w="15840" w:h="12240" w:orient="landscape"/>
          <w:pgMar w:top="605" w:right="720" w:bottom="648" w:left="720" w:header="317" w:footer="317" w:gutter="0"/>
          <w:cols w:space="720"/>
          <w:docGrid w:linePitch="360"/>
        </w:sectPr>
      </w:pPr>
    </w:p>
    <w:p>
      <w:pPr>
        <w:spacing w:before="0" w:after="40"/>
      </w:pPr>
      <w:r>
        <w:rPr>
          <w:rFonts w:ascii="Arial" w:hAnsi="Arial"/>
          <w:b/>
          <w:color w:val="502379"/>
          <w:sz w:val="15"/>
        </w:rPr>
        <w:t>COMPARATIF · 4E / 7E</w:t>
      </w:r>
    </w:p>
    <w:p>
      <w:pPr>
        <w:pStyle w:val="Title"/>
        <w:spacing w:after="100"/>
        <w:pBdr>
          <w:bottom w:val="single" w:sz="8" w:space="3" w:color="502379"/>
        </w:pBdr>
      </w:pPr>
      <w:r>
        <w:rPr>
          <w:rFonts w:ascii="Arial" w:hAnsi="Arial"/>
          <w:b/>
          <w:color w:val="171918"/>
          <w:sz w:val="52"/>
        </w:rPr>
        <w:t>Gabriel Attal / Fabien Roussel</w:t>
      </w:r>
    </w:p>
    <w:p>
      <w:pPr>
        <w:spacing w:after="140"/>
      </w:pPr>
      <w:r>
        <w:rPr>
          <w:rFonts w:ascii="Arial" w:hAnsi="Arial"/>
          <w:color w:val="6C6A66"/>
          <w:sz w:val="19"/>
        </w:rPr>
        <w:t>Vue synthétique ; la page suivante justifie chaque note globale sur 10.</w:t>
      </w:r>
    </w:p>
    <w:p>
      <w:pPr>
        <w:spacing w:after="80"/>
        <w:jc w:val="center"/>
      </w:pPr>
      <w:r>
        <w:drawing>
          <wp:inline xmlns:a="http://schemas.openxmlformats.org/drawingml/2006/main" xmlns:pic="http://schemas.openxmlformats.org/drawingml/2006/picture">
            <wp:extent cx="5715000" cy="4286250"/>
            <wp:docPr id="5" name="Picture 5"/>
            <wp:cNvGraphicFramePr>
              <a:graphicFrameLocks noChangeAspect="1"/>
            </wp:cNvGraphicFramePr>
            <a:graphic>
              <a:graphicData uri="http://schemas.openxmlformats.org/drawingml/2006/picture">
                <pic:pic>
                  <pic:nvPicPr>
                    <pic:cNvPr id="0" name="pair-03.png"/>
                    <pic:cNvPicPr/>
                  </pic:nvPicPr>
                  <pic:blipFill>
                    <a:blip r:embed="rId23"/>
                    <a:stretch>
                      <a:fillRect/>
                    </a:stretch>
                  </pic:blipFill>
                  <pic:spPr>
                    <a:xfrm>
                      <a:off x="0" y="0"/>
                      <a:ext cx="5715000" cy="4286250"/>
                    </a:xfrm>
                    <a:prstGeom prst="rect"/>
                  </pic:spPr>
                </pic:pic>
              </a:graphicData>
            </a:graphic>
          </wp:inline>
        </w:drawing>
      </w:r>
    </w:p>
    <w:tbl>
      <w:tblPr>
        <w:tblW w:type="dxa" w:w="9240"/>
        <w:tblLayout w:type="fixed"/>
        <w:tblLook w:firstColumn="1" w:firstRow="1" w:lastColumn="0" w:lastRow="0" w:noHBand="0" w:noVBand="1" w:val="04A0"/>
        <w:tblInd w:w="120" w:type="dxa"/>
      </w:tblPr>
      <w:tblGrid>
        <w:gridCol w:w="9240"/>
      </w:tblGrid>
      <w:tr>
        <w:tc>
          <w:tcPr>
            <w:tcW w:type="dxa" w:w="9240"/>
            <w:shd w:fill="F3F0E8"/>
            <w:tcMar>
              <w:top w:w="115" w:type="dxa"/>
              <w:start w:w="140" w:type="dxa"/>
              <w:bottom w:w="115" w:type="dxa"/>
              <w:end w:w="140" w:type="dxa"/>
            </w:tcMar>
            <w:tcBorders>
              <w:top w:val="single" w:sz="8" w:color="502379"/>
              <w:start w:val="single" w:sz="8" w:color="502379"/>
              <w:bottom w:val="single" w:sz="8" w:color="502379"/>
              <w:end w:val="single" w:sz="8" w:color="502379"/>
            </w:tcBorders>
          </w:tcPr>
          <w:p>
            <w:pPr>
              <w:spacing w:after="40"/>
            </w:pPr>
            <w:r>
              <w:rPr>
                <w:rFonts w:ascii="Arial" w:hAnsi="Arial"/>
                <w:b/>
                <w:color w:val="502379"/>
                <w:sz w:val="18"/>
              </w:rPr>
              <w:t>Qualité des sources</w:t>
            </w:r>
          </w:p>
          <w:p>
            <w:pPr>
              <w:spacing w:after="0"/>
            </w:pPr>
            <w:r>
              <w:rPr>
                <w:rFonts w:ascii="Arial" w:hAnsi="Arial"/>
                <w:color w:val="171918"/>
                <w:sz w:val="16"/>
              </w:rPr>
              <w:t>Gabriel Attal : Programme Renaissance, bilan gouvernemental et propositions publiques ; projet 2027 incomplet. Fabien Roussel : Programme PCF européen et propositions nationales récentes.</w:t>
            </w:r>
          </w:p>
        </w:tc>
      </w:tr>
    </w:tbl>
    <w:p>
      <w:pPr>
        <w:spacing w:after="0" w:before="0"/>
      </w:pPr>
    </w:p>
    <w:p>
      <w:pPr>
        <w:sectPr>
          <w:headerReference w:type="default" r:id="rId21"/>
          <w:footerReference w:type="default" r:id="rId22"/>
          <w:pgSz w:w="12240" w:h="15840"/>
          <w:pgMar w:top="720" w:right="1440" w:bottom="720" w:left="1440" w:header="317" w:footer="317" w:gutter="0"/>
          <w:cols w:space="720"/>
          <w:docGrid w:linePitch="360"/>
        </w:sectPr>
      </w:pPr>
    </w:p>
    <w:p>
      <w:pPr>
        <w:spacing w:before="0" w:after="40"/>
      </w:pPr>
      <w:r>
        <w:rPr>
          <w:rFonts w:ascii="Arial" w:hAnsi="Arial"/>
          <w:b/>
          <w:color w:val="502379"/>
          <w:sz w:val="15"/>
        </w:rPr>
        <w:t>JUSTIFICATION DES NOTES</w:t>
      </w:r>
    </w:p>
    <w:p>
      <w:pPr>
        <w:pStyle w:val="Title"/>
        <w:spacing w:after="100"/>
        <w:pBdr>
          <w:bottom w:val="single" w:sz="8" w:space="3" w:color="502379"/>
        </w:pBdr>
      </w:pPr>
      <w:r>
        <w:rPr>
          <w:rFonts w:ascii="Arial" w:hAnsi="Arial"/>
          <w:b/>
          <w:color w:val="171918"/>
          <w:sz w:val="52"/>
        </w:rPr>
        <w:t>Gabriel Attal / Fabien Roussel</w:t>
      </w:r>
    </w:p>
    <w:p>
      <w:pPr>
        <w:spacing w:after="140"/>
      </w:pPr>
      <w:r>
        <w:rPr>
          <w:rFonts w:ascii="Arial" w:hAnsi="Arial"/>
          <w:color w:val="6C6A66"/>
          <w:sz w:val="19"/>
        </w:rPr>
        <w:t>Chaque axe reçoit directement une note globale entière sur 10.</w:t>
      </w:r>
    </w:p>
    <w:tbl>
      <w:tblPr>
        <w:tblW w:type="dxa" w:w="13000"/>
        <w:tblLayout w:type="fixed"/>
        <w:tblLook w:firstColumn="1" w:firstRow="1" w:lastColumn="0" w:lastRow="0" w:noHBand="0" w:noVBand="1" w:val="04A0"/>
        <w:tblInd w:w="120" w:type="dxa"/>
      </w:tblPr>
      <w:tblGrid>
        <w:gridCol w:w="480"/>
        <w:gridCol w:w="2200"/>
        <w:gridCol w:w="4620"/>
        <w:gridCol w:w="540"/>
        <w:gridCol w:w="4620"/>
        <w:gridCol w:w="540"/>
      </w:tblGrid>
      <w:tr>
        <w:trPr>
          <w:tblHeader w:val="true"/>
        </w:trPr>
        <w:tc>
          <w:tcPr>
            <w:tcW w:type="dxa" w:w="480"/>
            <w:shd w:fill="171918"/>
            <w:tcMar>
              <w:top w:w="50" w:type="dxa"/>
              <w:start w:w="60" w:type="dxa"/>
              <w:bottom w:w="50" w:type="dxa"/>
              <w:end w:w="60" w:type="dxa"/>
            </w:tcMar>
            <w:vAlign w:val="center"/>
          </w:tcPr>
          <w:p>
            <w:pPr>
              <w:jc w:val="center"/>
            </w:pPr>
            <w:r>
              <w:rPr>
                <w:rFonts w:ascii="Arial" w:hAnsi="Arial"/>
                <w:b/>
                <w:color w:val="FFFFFF"/>
                <w:sz w:val="14"/>
              </w:rPr>
              <w:t>#</w:t>
            </w:r>
          </w:p>
        </w:tc>
        <w:tc>
          <w:tcPr>
            <w:tcW w:type="dxa" w:w="2200"/>
            <w:shd w:fill="171918"/>
            <w:tcMar>
              <w:top w:w="50" w:type="dxa"/>
              <w:start w:w="60" w:type="dxa"/>
              <w:bottom w:w="50" w:type="dxa"/>
              <w:end w:w="60" w:type="dxa"/>
            </w:tcMar>
            <w:vAlign w:val="center"/>
          </w:tcPr>
          <w:p>
            <w:pPr>
              <w:jc w:val="center"/>
            </w:pPr>
            <w:r>
              <w:rPr>
                <w:rFonts w:ascii="Arial" w:hAnsi="Arial"/>
                <w:b/>
                <w:color w:val="FFFFFF"/>
                <w:sz w:val="14"/>
              </w:rPr>
              <w:t>Axe</w:t>
            </w:r>
          </w:p>
        </w:tc>
        <w:tc>
          <w:tcPr>
            <w:tcW w:type="dxa" w:w="4620"/>
            <w:shd w:fill="171918"/>
            <w:tcMar>
              <w:top w:w="50" w:type="dxa"/>
              <w:start w:w="60" w:type="dxa"/>
              <w:bottom w:w="50" w:type="dxa"/>
              <w:end w:w="60" w:type="dxa"/>
            </w:tcMar>
            <w:vAlign w:val="center"/>
          </w:tcPr>
          <w:p>
            <w:pPr>
              <w:jc w:val="center"/>
            </w:pPr>
            <w:r>
              <w:rPr>
                <w:rFonts w:ascii="Arial" w:hAnsi="Arial"/>
                <w:b/>
                <w:color w:val="FFFFFF"/>
                <w:sz w:val="14"/>
              </w:rPr>
              <w:t>Gabriel Attal</w:t>
            </w:r>
          </w:p>
        </w:tc>
        <w:tc>
          <w:tcPr>
            <w:tcW w:type="dxa" w:w="540"/>
            <w:shd w:fill="171918"/>
            <w:tcMar>
              <w:top w:w="50" w:type="dxa"/>
              <w:start w:w="60" w:type="dxa"/>
              <w:bottom w:w="50" w:type="dxa"/>
              <w:end w:w="60" w:type="dxa"/>
            </w:tcMar>
            <w:vAlign w:val="center"/>
          </w:tcPr>
          <w:p>
            <w:pPr>
              <w:jc w:val="center"/>
            </w:pPr>
            <w:r>
              <w:rPr>
                <w:rFonts w:ascii="Arial" w:hAnsi="Arial"/>
                <w:b/>
                <w:color w:val="FFFFFF"/>
                <w:sz w:val="14"/>
              </w:rPr>
              <w:t>/10</w:t>
            </w:r>
          </w:p>
        </w:tc>
        <w:tc>
          <w:tcPr>
            <w:tcW w:type="dxa" w:w="4620"/>
            <w:shd w:fill="171918"/>
            <w:tcMar>
              <w:top w:w="50" w:type="dxa"/>
              <w:start w:w="60" w:type="dxa"/>
              <w:bottom w:w="50" w:type="dxa"/>
              <w:end w:w="60" w:type="dxa"/>
            </w:tcMar>
            <w:vAlign w:val="center"/>
          </w:tcPr>
          <w:p>
            <w:pPr>
              <w:jc w:val="center"/>
            </w:pPr>
            <w:r>
              <w:rPr>
                <w:rFonts w:ascii="Arial" w:hAnsi="Arial"/>
                <w:b/>
                <w:color w:val="FFFFFF"/>
                <w:sz w:val="14"/>
              </w:rPr>
              <w:t>Fabien Roussel</w:t>
            </w:r>
          </w:p>
        </w:tc>
        <w:tc>
          <w:tcPr>
            <w:tcW w:type="dxa" w:w="540"/>
            <w:shd w:fill="171918"/>
            <w:tcMar>
              <w:top w:w="50" w:type="dxa"/>
              <w:start w:w="60" w:type="dxa"/>
              <w:bottom w:w="50" w:type="dxa"/>
              <w:end w:w="60" w:type="dxa"/>
            </w:tcMar>
            <w:vAlign w:val="center"/>
          </w:tcPr>
          <w:p>
            <w:pPr>
              <w:jc w:val="center"/>
            </w:pPr>
            <w:r>
              <w:rPr>
                <w:rFonts w:ascii="Arial" w:hAnsi="Arial"/>
                <w:b/>
                <w:color w:val="FFFFFF"/>
                <w:sz w:val="14"/>
              </w:rPr>
              <w:t>/10</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1</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Europe fédérale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Très pro-européen et favorable à davantage de majorité qualifiée, sans fédéralisme aussi abouti.</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Coopération européenne admise, mais fédéralisme et transferts de souveraineté sont rejetés.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F17A0B"/>
                <w:sz w:val="13"/>
              </w:rPr>
              <w:t>4</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2</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Démocratie &amp; État de droit</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Attachement à l’État de droit, mais participation citoyenne et contre-pouvoirs moins structurants.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6</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Proportionnelle, médias et lutte anticorruption convergent ; participation européenne moins développée.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7</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3</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Défense &amp; Ukraine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Convergence complète sur Europe-puissance, défense commune et soutien à l’Ukraine.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Industrie de défense possible, mais refus d’une armée fédérale et aide militaire plus restrictive.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3</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4</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Économie &amp; innovation</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Marché unique, innovation, industrie et investissement européens très compatibles.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Politique industrielle et investissement convergent ; marché et fiscalité supranationale moins.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6</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5</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Climat &amp; énergie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Nucléaire, renouvelables et électrification convergent ; neutralité 2040 et prix carbone moins poussés.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8</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Nucléaire, renouvelables et électrification compatibles ; prix carbone et sobriété moins présents.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7</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6</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Mobilités &amp; ressources</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Rail et circularité compatibles, mais réduction de l’empreinte matérielle moins ambitieuse.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7</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Rail et réparation convergent, mais empreinte matérielle et aviation sont moins ambitieuses.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7</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7</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Social &amp; services publics</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Santé et éducation présentes, mais politique sociale et droits du travail plus libéraux.</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6</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Très forte convergence sur services publics, droits du travail et protection sociale.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8</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Migration &amp; inclusion</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Intégration et droit d’asile reconnus, avec une ligne migratoire nettement plus restrictive.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6</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Accueil digne et non-discrimination compatibles, avec une politique migratoire plus réservée.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7</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9</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Numérique &amp; communs</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IA encadrée et numérisation publique, mais contrôle d’âge et surveillance réduisent la compatibilité.</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6</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Logiciels libres, services publics numériques et protection des données assez compatibles.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7</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10</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Diplomatie &amp; multilatéralisme</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Très proche sur politique étrangère commune, élargissement, multilatéralisme et droits humains.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Multilatéralisme convergent, mais politique étrangère commune, élargissement et Ukraine sont plus éloignés.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5</w:t>
            </w:r>
          </w:p>
        </w:tc>
      </w:tr>
    </w:tbl>
    <w:p>
      <w:pPr>
        <w:sectPr>
          <w:headerReference w:type="default" r:id="rId24"/>
          <w:footerReference w:type="default" r:id="rId25"/>
          <w:pgSz w:w="15840" w:h="12240" w:orient="landscape"/>
          <w:pgMar w:top="605" w:right="720" w:bottom="648" w:left="720" w:header="317" w:footer="317" w:gutter="0"/>
          <w:cols w:space="720"/>
          <w:docGrid w:linePitch="360"/>
        </w:sectPr>
      </w:pPr>
    </w:p>
    <w:p>
      <w:pPr>
        <w:spacing w:before="0" w:after="40"/>
      </w:pPr>
      <w:r>
        <w:rPr>
          <w:rFonts w:ascii="Arial" w:hAnsi="Arial"/>
          <w:b/>
          <w:color w:val="502379"/>
          <w:sz w:val="15"/>
        </w:rPr>
        <w:t>COMPARATIF · 1RE / 5E EX ÆQUO</w:t>
      </w:r>
    </w:p>
    <w:p>
      <w:pPr>
        <w:pStyle w:val="Title"/>
        <w:spacing w:after="100"/>
        <w:pBdr>
          <w:bottom w:val="single" w:sz="8" w:space="3" w:color="502379"/>
        </w:pBdr>
      </w:pPr>
      <w:r>
        <w:rPr>
          <w:rFonts w:ascii="Arial" w:hAnsi="Arial"/>
          <w:b/>
          <w:color w:val="171918"/>
          <w:sz w:val="52"/>
        </w:rPr>
        <w:t>Raphaël Glucksmann / Jean-Luc Mélenchon</w:t>
      </w:r>
    </w:p>
    <w:p>
      <w:pPr>
        <w:spacing w:after="140"/>
      </w:pPr>
      <w:r>
        <w:rPr>
          <w:rFonts w:ascii="Arial" w:hAnsi="Arial"/>
          <w:color w:val="6C6A66"/>
          <w:sz w:val="19"/>
        </w:rPr>
        <w:t>Vue synthétique ; la page suivante justifie chaque note globale sur 10.</w:t>
      </w:r>
    </w:p>
    <w:p>
      <w:pPr>
        <w:spacing w:after="80"/>
        <w:jc w:val="center"/>
      </w:pPr>
      <w:r>
        <w:drawing>
          <wp:inline xmlns:a="http://schemas.openxmlformats.org/drawingml/2006/main" xmlns:pic="http://schemas.openxmlformats.org/drawingml/2006/picture">
            <wp:extent cx="5715000" cy="4286250"/>
            <wp:docPr id="6" name="Picture 6"/>
            <wp:cNvGraphicFramePr>
              <a:graphicFrameLocks noChangeAspect="1"/>
            </wp:cNvGraphicFramePr>
            <a:graphic>
              <a:graphicData uri="http://schemas.openxmlformats.org/drawingml/2006/picture">
                <pic:pic>
                  <pic:nvPicPr>
                    <pic:cNvPr id="0" name="pair-04.png"/>
                    <pic:cNvPicPr/>
                  </pic:nvPicPr>
                  <pic:blipFill>
                    <a:blip r:embed="rId28"/>
                    <a:stretch>
                      <a:fillRect/>
                    </a:stretch>
                  </pic:blipFill>
                  <pic:spPr>
                    <a:xfrm>
                      <a:off x="0" y="0"/>
                      <a:ext cx="5715000" cy="4286250"/>
                    </a:xfrm>
                    <a:prstGeom prst="rect"/>
                  </pic:spPr>
                </pic:pic>
              </a:graphicData>
            </a:graphic>
          </wp:inline>
        </w:drawing>
      </w:r>
    </w:p>
    <w:tbl>
      <w:tblPr>
        <w:tblW w:type="dxa" w:w="9240"/>
        <w:tblLayout w:type="fixed"/>
        <w:tblLook w:firstColumn="1" w:firstRow="1" w:lastColumn="0" w:lastRow="0" w:noHBand="0" w:noVBand="1" w:val="04A0"/>
        <w:tblInd w:w="120" w:type="dxa"/>
      </w:tblPr>
      <w:tblGrid>
        <w:gridCol w:w="9240"/>
      </w:tblGrid>
      <w:tr>
        <w:tc>
          <w:tcPr>
            <w:tcW w:type="dxa" w:w="9240"/>
            <w:shd w:fill="F3F0E8"/>
            <w:tcMar>
              <w:top w:w="115" w:type="dxa"/>
              <w:start w:w="140" w:type="dxa"/>
              <w:bottom w:w="115" w:type="dxa"/>
              <w:end w:w="140" w:type="dxa"/>
            </w:tcMar>
            <w:tcBorders>
              <w:top w:val="single" w:sz="8" w:color="502379"/>
              <w:start w:val="single" w:sz="8" w:color="502379"/>
              <w:bottom w:val="single" w:sz="8" w:color="502379"/>
              <w:end w:val="single" w:sz="8" w:color="502379"/>
            </w:tcBorders>
          </w:tcPr>
          <w:p>
            <w:pPr>
              <w:spacing w:after="40"/>
            </w:pPr>
            <w:r>
              <w:rPr>
                <w:rFonts w:ascii="Arial" w:hAnsi="Arial"/>
                <w:b/>
                <w:color w:val="502379"/>
                <w:sz w:val="18"/>
              </w:rPr>
              <w:t>Qualité des sources</w:t>
            </w:r>
          </w:p>
          <w:p>
            <w:pPr>
              <w:spacing w:after="0"/>
            </w:pPr>
            <w:r>
              <w:rPr>
                <w:rFonts w:ascii="Arial" w:hAnsi="Arial"/>
                <w:color w:val="171918"/>
                <w:sz w:val="16"/>
              </w:rPr>
              <w:t>Raphaël Glucksmann : Acte I de Place publique, programme européen et positions publiques détaillées. Jean-Luc Mélenchon : Programmes LFI 2022 et 2024 détaillés.</w:t>
            </w:r>
          </w:p>
        </w:tc>
      </w:tr>
    </w:tbl>
    <w:p>
      <w:pPr>
        <w:spacing w:after="0" w:before="0"/>
      </w:pPr>
    </w:p>
    <w:p>
      <w:pPr>
        <w:sectPr>
          <w:headerReference w:type="default" r:id="rId26"/>
          <w:footerReference w:type="default" r:id="rId27"/>
          <w:pgSz w:w="12240" w:h="15840"/>
          <w:pgMar w:top="720" w:right="1440" w:bottom="720" w:left="1440" w:header="317" w:footer="317" w:gutter="0"/>
          <w:cols w:space="720"/>
          <w:docGrid w:linePitch="360"/>
        </w:sectPr>
      </w:pPr>
    </w:p>
    <w:p>
      <w:pPr>
        <w:spacing w:before="0" w:after="40"/>
      </w:pPr>
      <w:r>
        <w:rPr>
          <w:rFonts w:ascii="Arial" w:hAnsi="Arial"/>
          <w:b/>
          <w:color w:val="502379"/>
          <w:sz w:val="15"/>
        </w:rPr>
        <w:t>JUSTIFICATION DES NOTES</w:t>
      </w:r>
    </w:p>
    <w:p>
      <w:pPr>
        <w:pStyle w:val="Title"/>
        <w:spacing w:after="100"/>
        <w:pBdr>
          <w:bottom w:val="single" w:sz="8" w:space="3" w:color="502379"/>
        </w:pBdr>
      </w:pPr>
      <w:r>
        <w:rPr>
          <w:rFonts w:ascii="Arial" w:hAnsi="Arial"/>
          <w:b/>
          <w:color w:val="171918"/>
          <w:sz w:val="52"/>
        </w:rPr>
        <w:t>Raphaël Glucksmann / Jean-Luc Mélenchon</w:t>
      </w:r>
    </w:p>
    <w:p>
      <w:pPr>
        <w:spacing w:after="140"/>
      </w:pPr>
      <w:r>
        <w:rPr>
          <w:rFonts w:ascii="Arial" w:hAnsi="Arial"/>
          <w:color w:val="6C6A66"/>
          <w:sz w:val="19"/>
        </w:rPr>
        <w:t>Chaque axe reçoit directement une note globale entière sur 10.</w:t>
      </w:r>
    </w:p>
    <w:tbl>
      <w:tblPr>
        <w:tblW w:type="dxa" w:w="13000"/>
        <w:tblLayout w:type="fixed"/>
        <w:tblLook w:firstColumn="1" w:firstRow="1" w:lastColumn="0" w:lastRow="0" w:noHBand="0" w:noVBand="1" w:val="04A0"/>
        <w:tblInd w:w="120" w:type="dxa"/>
      </w:tblPr>
      <w:tblGrid>
        <w:gridCol w:w="480"/>
        <w:gridCol w:w="2200"/>
        <w:gridCol w:w="4620"/>
        <w:gridCol w:w="540"/>
        <w:gridCol w:w="4620"/>
        <w:gridCol w:w="540"/>
      </w:tblGrid>
      <w:tr>
        <w:trPr>
          <w:tblHeader w:val="true"/>
        </w:trPr>
        <w:tc>
          <w:tcPr>
            <w:tcW w:type="dxa" w:w="480"/>
            <w:shd w:fill="171918"/>
            <w:tcMar>
              <w:top w:w="50" w:type="dxa"/>
              <w:start w:w="60" w:type="dxa"/>
              <w:bottom w:w="50" w:type="dxa"/>
              <w:end w:w="60" w:type="dxa"/>
            </w:tcMar>
            <w:vAlign w:val="center"/>
          </w:tcPr>
          <w:p>
            <w:pPr>
              <w:jc w:val="center"/>
            </w:pPr>
            <w:r>
              <w:rPr>
                <w:rFonts w:ascii="Arial" w:hAnsi="Arial"/>
                <w:b/>
                <w:color w:val="FFFFFF"/>
                <w:sz w:val="14"/>
              </w:rPr>
              <w:t>#</w:t>
            </w:r>
          </w:p>
        </w:tc>
        <w:tc>
          <w:tcPr>
            <w:tcW w:type="dxa" w:w="2200"/>
            <w:shd w:fill="171918"/>
            <w:tcMar>
              <w:top w:w="50" w:type="dxa"/>
              <w:start w:w="60" w:type="dxa"/>
              <w:bottom w:w="50" w:type="dxa"/>
              <w:end w:w="60" w:type="dxa"/>
            </w:tcMar>
            <w:vAlign w:val="center"/>
          </w:tcPr>
          <w:p>
            <w:pPr>
              <w:jc w:val="center"/>
            </w:pPr>
            <w:r>
              <w:rPr>
                <w:rFonts w:ascii="Arial" w:hAnsi="Arial"/>
                <w:b/>
                <w:color w:val="FFFFFF"/>
                <w:sz w:val="14"/>
              </w:rPr>
              <w:t>Axe</w:t>
            </w:r>
          </w:p>
        </w:tc>
        <w:tc>
          <w:tcPr>
            <w:tcW w:type="dxa" w:w="4620"/>
            <w:shd w:fill="171918"/>
            <w:tcMar>
              <w:top w:w="50" w:type="dxa"/>
              <w:start w:w="60" w:type="dxa"/>
              <w:bottom w:w="50" w:type="dxa"/>
              <w:end w:w="60" w:type="dxa"/>
            </w:tcMar>
            <w:vAlign w:val="center"/>
          </w:tcPr>
          <w:p>
            <w:pPr>
              <w:jc w:val="center"/>
            </w:pPr>
            <w:r>
              <w:rPr>
                <w:rFonts w:ascii="Arial" w:hAnsi="Arial"/>
                <w:b/>
                <w:color w:val="FFFFFF"/>
                <w:sz w:val="14"/>
              </w:rPr>
              <w:t>Raphaël Glucksmann</w:t>
            </w:r>
          </w:p>
        </w:tc>
        <w:tc>
          <w:tcPr>
            <w:tcW w:type="dxa" w:w="540"/>
            <w:shd w:fill="171918"/>
            <w:tcMar>
              <w:top w:w="50" w:type="dxa"/>
              <w:start w:w="60" w:type="dxa"/>
              <w:bottom w:w="50" w:type="dxa"/>
              <w:end w:w="60" w:type="dxa"/>
            </w:tcMar>
            <w:vAlign w:val="center"/>
          </w:tcPr>
          <w:p>
            <w:pPr>
              <w:jc w:val="center"/>
            </w:pPr>
            <w:r>
              <w:rPr>
                <w:rFonts w:ascii="Arial" w:hAnsi="Arial"/>
                <w:b/>
                <w:color w:val="FFFFFF"/>
                <w:sz w:val="14"/>
              </w:rPr>
              <w:t>/10</w:t>
            </w:r>
          </w:p>
        </w:tc>
        <w:tc>
          <w:tcPr>
            <w:tcW w:type="dxa" w:w="4620"/>
            <w:shd w:fill="171918"/>
            <w:tcMar>
              <w:top w:w="50" w:type="dxa"/>
              <w:start w:w="60" w:type="dxa"/>
              <w:bottom w:w="50" w:type="dxa"/>
              <w:end w:w="60" w:type="dxa"/>
            </w:tcMar>
            <w:vAlign w:val="center"/>
          </w:tcPr>
          <w:p>
            <w:pPr>
              <w:jc w:val="center"/>
            </w:pPr>
            <w:r>
              <w:rPr>
                <w:rFonts w:ascii="Arial" w:hAnsi="Arial"/>
                <w:b/>
                <w:color w:val="FFFFFF"/>
                <w:sz w:val="14"/>
              </w:rPr>
              <w:t>Jean-Luc Mélenchon</w:t>
            </w:r>
          </w:p>
        </w:tc>
        <w:tc>
          <w:tcPr>
            <w:tcW w:type="dxa" w:w="540"/>
            <w:shd w:fill="171918"/>
            <w:tcMar>
              <w:top w:w="50" w:type="dxa"/>
              <w:start w:w="60" w:type="dxa"/>
              <w:bottom w:w="50" w:type="dxa"/>
              <w:end w:w="60" w:type="dxa"/>
            </w:tcMar>
            <w:vAlign w:val="center"/>
          </w:tcPr>
          <w:p>
            <w:pPr>
              <w:jc w:val="center"/>
            </w:pPr>
            <w:r>
              <w:rPr>
                <w:rFonts w:ascii="Arial" w:hAnsi="Arial"/>
                <w:b/>
                <w:color w:val="FFFFFF"/>
                <w:sz w:val="14"/>
              </w:rPr>
              <w:t>/10</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1</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Europe fédérale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Fédéralisme assumé, fin de l’unanimité et souveraineté européenne : convergence presque complète.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Coopérations européennes souhaitées, mais désobéissance et souveraineté nationale s’opposent au fédéralisme Volt.</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3</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2</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Démocratie &amp; État de droit</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État de droit, médias indépendants, transparence et contre-pouvoirs occupent une place centrale.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VIe République, participation, médias et lutte anticorruption convergent fortement.</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3</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Défense &amp; Ukraine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Convergence complète sur l’armée européenne, l’industrie de défense et le soutien durable à l’Ukraine.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Refus d’une défense européenne intégrée et soutien plus limité à l’Ukraine : divergence majeure.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2</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4</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Économie &amp; innovation</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Politique industrielle, investissement, innovation et fiscalité européenne très proches de Volt.</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Investissement et industrie convergent ; marché unique, règles communes et approche économique diffèrent.</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5</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5</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Climat &amp; énergie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Décarbonation rapide, nucléaire et renouvelables convergent ; détails instrumentaux légèrement différents.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Neutralité et renouvelables fortes, mais sortie du nucléaire et opposition à certains prix carbone créent un écart.</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6</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6</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Mobilités &amp; ressources</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Rail européen, circularité et réduction de l’empreinte matérielle sont très compatibles.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Convergence complète sur rail, transports publics, circularité, réparation et sobriété.</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7</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Social &amp; services publics</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Socle social, services publics et droits des travailleurs convergent, avec un revenu de base moins affirmé.</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Services publics, droits sociaux et travailleurs sont pleinement convergents.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8</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Migration &amp; inclusion</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Accueil digne, voies légales, intégration et solidarité européenne très compatibles.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Asile, accueil, non-discrimination et solidarité sont très proches.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9</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Numérique &amp; communs</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Logiciels libres et neutralité moins centraux ; forte régulation numérique mais contrôle d’âge plus intrusif.</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8</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Protection des données, logiciels libres et régulation de l’IA convergent fortement.</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8</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10</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Diplomatie &amp; multilatéralisme</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Politique étrangère commune, élargissement, Ukraine et multilatéralisme : convergence complète.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Droits humains et multilatéralisme convergent, mais politique étrangère commune et Ukraine divergent.</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6</w:t>
            </w:r>
          </w:p>
        </w:tc>
      </w:tr>
    </w:tbl>
    <w:p>
      <w:pPr>
        <w:sectPr>
          <w:headerReference w:type="default" r:id="rId29"/>
          <w:footerReference w:type="default" r:id="rId30"/>
          <w:pgSz w:w="15840" w:h="12240" w:orient="landscape"/>
          <w:pgMar w:top="605" w:right="720" w:bottom="648" w:left="720" w:header="317" w:footer="317" w:gutter="0"/>
          <w:cols w:space="720"/>
          <w:docGrid w:linePitch="360"/>
        </w:sectPr>
      </w:pPr>
    </w:p>
    <w:p>
      <w:pPr>
        <w:spacing w:before="0" w:after="40"/>
      </w:pPr>
      <w:r>
        <w:rPr>
          <w:rFonts w:ascii="Arial" w:hAnsi="Arial"/>
          <w:b/>
          <w:color w:val="502379"/>
          <w:sz w:val="15"/>
        </w:rPr>
        <w:t>COMPARATIF · 3E / 2E</w:t>
      </w:r>
    </w:p>
    <w:p>
      <w:pPr>
        <w:pStyle w:val="Title"/>
        <w:spacing w:after="100"/>
        <w:pBdr>
          <w:bottom w:val="single" w:sz="8" w:space="3" w:color="502379"/>
        </w:pBdr>
      </w:pPr>
      <w:r>
        <w:rPr>
          <w:rFonts w:ascii="Arial" w:hAnsi="Arial"/>
          <w:b/>
          <w:color w:val="171918"/>
          <w:sz w:val="52"/>
        </w:rPr>
        <w:t>François Ruffin / Marine Tondelier</w:t>
      </w:r>
    </w:p>
    <w:p>
      <w:pPr>
        <w:spacing w:after="140"/>
      </w:pPr>
      <w:r>
        <w:rPr>
          <w:rFonts w:ascii="Arial" w:hAnsi="Arial"/>
          <w:color w:val="6C6A66"/>
          <w:sz w:val="19"/>
        </w:rPr>
        <w:t>Vue synthétique ; la page suivante justifie chaque note globale sur 10.</w:t>
      </w:r>
    </w:p>
    <w:p>
      <w:pPr>
        <w:spacing w:after="80"/>
        <w:jc w:val="center"/>
      </w:pPr>
      <w:r>
        <w:drawing>
          <wp:inline xmlns:a="http://schemas.openxmlformats.org/drawingml/2006/main" xmlns:pic="http://schemas.openxmlformats.org/drawingml/2006/picture">
            <wp:extent cx="5715000" cy="4286250"/>
            <wp:docPr id="7" name="Picture 7"/>
            <wp:cNvGraphicFramePr>
              <a:graphicFrameLocks noChangeAspect="1"/>
            </wp:cNvGraphicFramePr>
            <a:graphic>
              <a:graphicData uri="http://schemas.openxmlformats.org/drawingml/2006/picture">
                <pic:pic>
                  <pic:nvPicPr>
                    <pic:cNvPr id="0" name="pair-05.png"/>
                    <pic:cNvPicPr/>
                  </pic:nvPicPr>
                  <pic:blipFill>
                    <a:blip r:embed="rId33"/>
                    <a:stretch>
                      <a:fillRect/>
                    </a:stretch>
                  </pic:blipFill>
                  <pic:spPr>
                    <a:xfrm>
                      <a:off x="0" y="0"/>
                      <a:ext cx="5715000" cy="4286250"/>
                    </a:xfrm>
                    <a:prstGeom prst="rect"/>
                  </pic:spPr>
                </pic:pic>
              </a:graphicData>
            </a:graphic>
          </wp:inline>
        </w:drawing>
      </w:r>
    </w:p>
    <w:tbl>
      <w:tblPr>
        <w:tblW w:type="dxa" w:w="9240"/>
        <w:tblLayout w:type="fixed"/>
        <w:tblLook w:firstColumn="1" w:firstRow="1" w:lastColumn="0" w:lastRow="0" w:noHBand="0" w:noVBand="1" w:val="04A0"/>
        <w:tblInd w:w="120" w:type="dxa"/>
      </w:tblPr>
      <w:tblGrid>
        <w:gridCol w:w="9240"/>
      </w:tblGrid>
      <w:tr>
        <w:tc>
          <w:tcPr>
            <w:tcW w:type="dxa" w:w="9240"/>
            <w:shd w:fill="F3F0E8"/>
            <w:tcMar>
              <w:top w:w="115" w:type="dxa"/>
              <w:start w:w="140" w:type="dxa"/>
              <w:bottom w:w="115" w:type="dxa"/>
              <w:end w:w="140" w:type="dxa"/>
            </w:tcMar>
            <w:tcBorders>
              <w:top w:val="single" w:sz="8" w:color="502379"/>
              <w:start w:val="single" w:sz="8" w:color="502379"/>
              <w:bottom w:val="single" w:sz="8" w:color="502379"/>
              <w:end w:val="single" w:sz="8" w:color="502379"/>
            </w:tcBorders>
          </w:tcPr>
          <w:p>
            <w:pPr>
              <w:spacing w:after="40"/>
            </w:pPr>
            <w:r>
              <w:rPr>
                <w:rFonts w:ascii="Arial" w:hAnsi="Arial"/>
                <w:b/>
                <w:color w:val="502379"/>
                <w:sz w:val="18"/>
              </w:rPr>
              <w:t>Qualité des sources</w:t>
            </w:r>
          </w:p>
          <w:p>
            <w:pPr>
              <w:spacing w:after="0"/>
            </w:pPr>
            <w:r>
              <w:rPr>
                <w:rFonts w:ascii="Arial" w:hAnsi="Arial"/>
                <w:color w:val="171918"/>
                <w:sz w:val="16"/>
              </w:rPr>
              <w:t>François Ruffin : Propositions et prises de position nombreuses ; programme présidentiel complet non publié. Marine Tondelier : Programme écologiste 2026 et programme européen des Écologistes.</w:t>
            </w:r>
          </w:p>
        </w:tc>
      </w:tr>
    </w:tbl>
    <w:p>
      <w:pPr>
        <w:spacing w:after="0" w:before="0"/>
      </w:pPr>
    </w:p>
    <w:p>
      <w:pPr>
        <w:sectPr>
          <w:headerReference w:type="default" r:id="rId31"/>
          <w:footerReference w:type="default" r:id="rId32"/>
          <w:pgSz w:w="12240" w:h="15840"/>
          <w:pgMar w:top="720" w:right="1440" w:bottom="720" w:left="1440" w:header="317" w:footer="317" w:gutter="0"/>
          <w:cols w:space="720"/>
          <w:docGrid w:linePitch="360"/>
        </w:sectPr>
      </w:pPr>
    </w:p>
    <w:p>
      <w:pPr>
        <w:spacing w:before="0" w:after="40"/>
      </w:pPr>
      <w:r>
        <w:rPr>
          <w:rFonts w:ascii="Arial" w:hAnsi="Arial"/>
          <w:b/>
          <w:color w:val="502379"/>
          <w:sz w:val="15"/>
        </w:rPr>
        <w:t>JUSTIFICATION DES NOTES</w:t>
      </w:r>
    </w:p>
    <w:p>
      <w:pPr>
        <w:pStyle w:val="Title"/>
        <w:spacing w:after="100"/>
        <w:pBdr>
          <w:bottom w:val="single" w:sz="8" w:space="3" w:color="502379"/>
        </w:pBdr>
      </w:pPr>
      <w:r>
        <w:rPr>
          <w:rFonts w:ascii="Arial" w:hAnsi="Arial"/>
          <w:b/>
          <w:color w:val="171918"/>
          <w:sz w:val="52"/>
        </w:rPr>
        <w:t>François Ruffin / Marine Tondelier</w:t>
      </w:r>
    </w:p>
    <w:p>
      <w:pPr>
        <w:spacing w:after="140"/>
      </w:pPr>
      <w:r>
        <w:rPr>
          <w:rFonts w:ascii="Arial" w:hAnsi="Arial"/>
          <w:color w:val="6C6A66"/>
          <w:sz w:val="19"/>
        </w:rPr>
        <w:t>Chaque axe reçoit directement une note globale entière sur 10.</w:t>
      </w:r>
    </w:p>
    <w:tbl>
      <w:tblPr>
        <w:tblW w:type="dxa" w:w="13000"/>
        <w:tblLayout w:type="fixed"/>
        <w:tblLook w:firstColumn="1" w:firstRow="1" w:lastColumn="0" w:lastRow="0" w:noHBand="0" w:noVBand="1" w:val="04A0"/>
        <w:tblInd w:w="120" w:type="dxa"/>
      </w:tblPr>
      <w:tblGrid>
        <w:gridCol w:w="480"/>
        <w:gridCol w:w="2200"/>
        <w:gridCol w:w="4620"/>
        <w:gridCol w:w="540"/>
        <w:gridCol w:w="4620"/>
        <w:gridCol w:w="540"/>
      </w:tblGrid>
      <w:tr>
        <w:trPr>
          <w:tblHeader w:val="true"/>
        </w:trPr>
        <w:tc>
          <w:tcPr>
            <w:tcW w:type="dxa" w:w="480"/>
            <w:shd w:fill="171918"/>
            <w:tcMar>
              <w:top w:w="50" w:type="dxa"/>
              <w:start w:w="60" w:type="dxa"/>
              <w:bottom w:w="50" w:type="dxa"/>
              <w:end w:w="60" w:type="dxa"/>
            </w:tcMar>
            <w:vAlign w:val="center"/>
          </w:tcPr>
          <w:p>
            <w:pPr>
              <w:jc w:val="center"/>
            </w:pPr>
            <w:r>
              <w:rPr>
                <w:rFonts w:ascii="Arial" w:hAnsi="Arial"/>
                <w:b/>
                <w:color w:val="FFFFFF"/>
                <w:sz w:val="14"/>
              </w:rPr>
              <w:t>#</w:t>
            </w:r>
          </w:p>
        </w:tc>
        <w:tc>
          <w:tcPr>
            <w:tcW w:type="dxa" w:w="2200"/>
            <w:shd w:fill="171918"/>
            <w:tcMar>
              <w:top w:w="50" w:type="dxa"/>
              <w:start w:w="60" w:type="dxa"/>
              <w:bottom w:w="50" w:type="dxa"/>
              <w:end w:w="60" w:type="dxa"/>
            </w:tcMar>
            <w:vAlign w:val="center"/>
          </w:tcPr>
          <w:p>
            <w:pPr>
              <w:jc w:val="center"/>
            </w:pPr>
            <w:r>
              <w:rPr>
                <w:rFonts w:ascii="Arial" w:hAnsi="Arial"/>
                <w:b/>
                <w:color w:val="FFFFFF"/>
                <w:sz w:val="14"/>
              </w:rPr>
              <w:t>Axe</w:t>
            </w:r>
          </w:p>
        </w:tc>
        <w:tc>
          <w:tcPr>
            <w:tcW w:type="dxa" w:w="4620"/>
            <w:shd w:fill="171918"/>
            <w:tcMar>
              <w:top w:w="50" w:type="dxa"/>
              <w:start w:w="60" w:type="dxa"/>
              <w:bottom w:w="50" w:type="dxa"/>
              <w:end w:w="60" w:type="dxa"/>
            </w:tcMar>
            <w:vAlign w:val="center"/>
          </w:tcPr>
          <w:p>
            <w:pPr>
              <w:jc w:val="center"/>
            </w:pPr>
            <w:r>
              <w:rPr>
                <w:rFonts w:ascii="Arial" w:hAnsi="Arial"/>
                <w:b/>
                <w:color w:val="FFFFFF"/>
                <w:sz w:val="14"/>
              </w:rPr>
              <w:t>François Ruffin</w:t>
            </w:r>
          </w:p>
        </w:tc>
        <w:tc>
          <w:tcPr>
            <w:tcW w:type="dxa" w:w="540"/>
            <w:shd w:fill="171918"/>
            <w:tcMar>
              <w:top w:w="50" w:type="dxa"/>
              <w:start w:w="60" w:type="dxa"/>
              <w:bottom w:w="50" w:type="dxa"/>
              <w:end w:w="60" w:type="dxa"/>
            </w:tcMar>
            <w:vAlign w:val="center"/>
          </w:tcPr>
          <w:p>
            <w:pPr>
              <w:jc w:val="center"/>
            </w:pPr>
            <w:r>
              <w:rPr>
                <w:rFonts w:ascii="Arial" w:hAnsi="Arial"/>
                <w:b/>
                <w:color w:val="FFFFFF"/>
                <w:sz w:val="14"/>
              </w:rPr>
              <w:t>/10</w:t>
            </w:r>
          </w:p>
        </w:tc>
        <w:tc>
          <w:tcPr>
            <w:tcW w:type="dxa" w:w="4620"/>
            <w:shd w:fill="171918"/>
            <w:tcMar>
              <w:top w:w="50" w:type="dxa"/>
              <w:start w:w="60" w:type="dxa"/>
              <w:bottom w:w="50" w:type="dxa"/>
              <w:end w:w="60" w:type="dxa"/>
            </w:tcMar>
            <w:vAlign w:val="center"/>
          </w:tcPr>
          <w:p>
            <w:pPr>
              <w:jc w:val="center"/>
            </w:pPr>
            <w:r>
              <w:rPr>
                <w:rFonts w:ascii="Arial" w:hAnsi="Arial"/>
                <w:b/>
                <w:color w:val="FFFFFF"/>
                <w:sz w:val="14"/>
              </w:rPr>
              <w:t>Marine Tondelier</w:t>
            </w:r>
          </w:p>
        </w:tc>
        <w:tc>
          <w:tcPr>
            <w:tcW w:type="dxa" w:w="540"/>
            <w:shd w:fill="171918"/>
            <w:tcMar>
              <w:top w:w="50" w:type="dxa"/>
              <w:start w:w="60" w:type="dxa"/>
              <w:bottom w:w="50" w:type="dxa"/>
              <w:end w:w="60" w:type="dxa"/>
            </w:tcMar>
            <w:vAlign w:val="center"/>
          </w:tcPr>
          <w:p>
            <w:pPr>
              <w:jc w:val="center"/>
            </w:pPr>
            <w:r>
              <w:rPr>
                <w:rFonts w:ascii="Arial" w:hAnsi="Arial"/>
                <w:b/>
                <w:color w:val="FFFFFF"/>
                <w:sz w:val="14"/>
              </w:rPr>
              <w:t>/10</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1</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Europe fédérale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Europe protectrice souhaitée, mais fédéralisme institutionnel et fin des souverainetés moins assumés.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6</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Très fédéraliste et favorable à la fin du veto, malgré quelques différences institutionnelles.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2</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Démocratie &amp; État de droit</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Participation citoyenne, réforme des médias et contre-pouvoirs très convergents.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Très forte convergence sur l’État de droit, la participation, les médias et les contre-pouvoirs.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3</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Défense &amp; Ukraine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Autonomie européenne compatible, mais armée fédérale et soutien militaire sont plus prudents.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6</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Soutien à l’Ukraine et défense européenne compatibles, mais réarmement commun moins central.</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8</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4</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Économie &amp; innovation</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Relocalisation et investissement convergent ; marché unique et compétitivité sont moins centraux.</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6</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Investissement vert et fiscalité coordonnée convergent ; approche économique moins pro-marché.</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7</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5</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Climat &amp; énergie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Décarbonation et transition juste fortes ; nucléaire non tranché et outils européens moins précis.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7</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Neutralité rapide et renouvelables convergent, mais sortie du nucléaire opposée au mix Volt.</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8</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6</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Mobilités &amp; ressources</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Rail, transports collectifs, réparation, circularité et sobriété matérielle convergent pleinement.</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Convergence complète sur rail, transports collectifs, circularité, réparation et sobriété matérielle.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7</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Social &amp; services publics</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Services publics, droits du travail, redistribution et égalité des chances : convergence complète.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Services publics, droits sociaux et égalité des chances sont pleinement convergents.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8</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Migration &amp; inclusion</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Accueil digne et intégration compatibles, avec une ligne plus réservée sur l’immigration de travail.</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8</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Asile humain, voies légales, solidarité et non-discrimination : convergence complète.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9</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Numérique &amp; communs</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Données, communs et accès numérique sont proches, mais doctrine européenne de l’IA moins détaillée.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8</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Protection des données, communs numériques et IA responsable très proches.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502379"/>
                <w:sz w:val="13"/>
              </w:rPr>
              <w:t>10</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Diplomatie &amp; multilatéralisme</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Multilatéralisme et droits humains convergent ; politique étrangère fédérale moins assumée.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7</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Élargissement démocratique, droits humains, multilatéralisme et justice climatique convergent pleinement.</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r>
    </w:tbl>
    <w:p>
      <w:pPr>
        <w:sectPr>
          <w:headerReference w:type="default" r:id="rId34"/>
          <w:footerReference w:type="default" r:id="rId35"/>
          <w:pgSz w:w="15840" w:h="12240" w:orient="landscape"/>
          <w:pgMar w:top="605" w:right="720" w:bottom="648" w:left="720" w:header="317" w:footer="317" w:gutter="0"/>
          <w:cols w:space="720"/>
          <w:docGrid w:linePitch="360"/>
        </w:sectPr>
      </w:pPr>
    </w:p>
    <w:p>
      <w:pPr>
        <w:spacing w:before="0" w:after="40"/>
      </w:pPr>
      <w:r>
        <w:rPr>
          <w:rFonts w:ascii="Arial" w:hAnsi="Arial"/>
          <w:b/>
          <w:color w:val="502379"/>
          <w:sz w:val="15"/>
        </w:rPr>
        <w:t>MÉTHODE &amp; LIMITES</w:t>
      </w:r>
    </w:p>
    <w:p>
      <w:pPr>
        <w:pStyle w:val="Title"/>
        <w:spacing w:after="100"/>
        <w:pBdr>
          <w:bottom w:val="single" w:sz="8" w:space="3" w:color="502379"/>
        </w:pBdr>
      </w:pPr>
      <w:r>
        <w:rPr>
          <w:rFonts w:ascii="Arial" w:hAnsi="Arial"/>
          <w:b/>
          <w:color w:val="171918"/>
          <w:sz w:val="52"/>
        </w:rPr>
        <w:t>Ce que le score dit — et ne dit pas</w:t>
      </w:r>
    </w:p>
    <w:tbl>
      <w:tblPr>
        <w:tblW w:type="dxa" w:w="9240"/>
        <w:tblLayout w:type="fixed"/>
        <w:tblLook w:firstColumn="1" w:firstRow="1" w:lastColumn="0" w:lastRow="0" w:noHBand="0" w:noVBand="1" w:val="04A0"/>
        <w:tblInd w:w="120" w:type="dxa"/>
      </w:tblPr>
      <w:tblGrid>
        <w:gridCol w:w="2620"/>
        <w:gridCol w:w="6620"/>
      </w:tblGrid>
      <w:tr>
        <w:tc>
          <w:tcPr>
            <w:tcW w:type="dxa" w:w="2620"/>
            <w:shd w:fill="171918"/>
            <w:tcMar>
              <w:top w:w="85" w:type="dxa"/>
              <w:start w:w="100" w:type="dxa"/>
              <w:bottom w:w="85" w:type="dxa"/>
              <w:end w:w="100" w:type="dxa"/>
            </w:tcMar>
            <w:vAlign w:val="center"/>
            <w:tcBorders>
              <w:bottom w:val="single" w:sz="3" w:color="D9D3C7"/>
            </w:tcBorders>
          </w:tcPr>
          <w:p>
            <w:r>
              <w:rPr>
                <w:rFonts w:ascii="Arial" w:hAnsi="Arial"/>
                <w:b/>
                <w:color w:val="502379"/>
                <w:sz w:val="16"/>
              </w:rPr>
              <w:t>Nature des notes</w:t>
            </w:r>
          </w:p>
        </w:tc>
        <w:tc>
          <w:tcPr>
            <w:tcW w:type="dxa" w:w="6620"/>
            <w:shd w:fill="FFFDF9"/>
            <w:tcMar>
              <w:top w:w="85" w:type="dxa"/>
              <w:start w:w="100" w:type="dxa"/>
              <w:bottom w:w="85" w:type="dxa"/>
              <w:end w:w="100" w:type="dxa"/>
            </w:tcMar>
            <w:vAlign w:val="center"/>
            <w:tcBorders>
              <w:bottom w:val="single" w:sz="3" w:color="D9D3C7"/>
            </w:tcBorders>
          </w:tcPr>
          <w:p>
            <w:r>
              <w:rPr>
                <w:rFonts w:ascii="Arial" w:hAnsi="Arial"/>
                <w:color w:val="171918"/>
                <w:sz w:val="15"/>
              </w:rPr>
              <w:t>Chaque note est une appréciation éditoriale argumentée à partir des sources citées. Elle n’est pas le résultat d’une formule automatique. La même échelle de 0 à 10 est utilisée dans les quatre référentiels, mais les axes évalués ne sont pas identiques.</w:t>
            </w:r>
          </w:p>
        </w:tc>
      </w:tr>
    </w:tbl>
    <w:p>
      <w:pPr>
        <w:spacing w:after="6" w:before="0"/>
      </w:pPr>
    </w:p>
    <w:tbl>
      <w:tblPr>
        <w:tblW w:type="dxa" w:w="9240"/>
        <w:tblLayout w:type="fixed"/>
        <w:tblLook w:firstColumn="1" w:firstRow="1" w:lastColumn="0" w:lastRow="0" w:noHBand="0" w:noVBand="1" w:val="04A0"/>
        <w:tblInd w:w="120" w:type="dxa"/>
      </w:tblPr>
      <w:tblGrid>
        <w:gridCol w:w="2620"/>
        <w:gridCol w:w="6620"/>
      </w:tblGrid>
      <w:tr>
        <w:tc>
          <w:tcPr>
            <w:tcW w:type="dxa" w:w="2620"/>
            <w:shd w:fill="171918"/>
            <w:tcMar>
              <w:top w:w="85" w:type="dxa"/>
              <w:start w:w="100" w:type="dxa"/>
              <w:bottom w:w="85" w:type="dxa"/>
              <w:end w:w="100" w:type="dxa"/>
            </w:tcMar>
            <w:vAlign w:val="center"/>
            <w:tcBorders>
              <w:bottom w:val="single" w:sz="3" w:color="D9D3C7"/>
            </w:tcBorders>
          </w:tcPr>
          <w:p>
            <w:r>
              <w:rPr>
                <w:rFonts w:ascii="Arial" w:hAnsi="Arial"/>
                <w:b/>
                <w:color w:val="502379"/>
                <w:sz w:val="16"/>
              </w:rPr>
              <w:t>Écarts faibles</w:t>
            </w:r>
          </w:p>
        </w:tc>
        <w:tc>
          <w:tcPr>
            <w:tcW w:type="dxa" w:w="6620"/>
            <w:shd w:fill="F1ECE2"/>
            <w:tcMar>
              <w:top w:w="85" w:type="dxa"/>
              <w:start w:w="100" w:type="dxa"/>
              <w:bottom w:w="85" w:type="dxa"/>
              <w:end w:w="100" w:type="dxa"/>
            </w:tcMar>
            <w:vAlign w:val="center"/>
            <w:tcBorders>
              <w:bottom w:val="single" w:sz="3" w:color="D9D3C7"/>
            </w:tcBorders>
          </w:tcPr>
          <w:p>
            <w:r>
              <w:rPr>
                <w:rFonts w:ascii="Arial" w:hAnsi="Arial"/>
                <w:color w:val="171918"/>
                <w:sz w:val="15"/>
              </w:rPr>
              <w:t>Un écart de 1 ou 2 points ne doit pas être interprété comme une différence décisive. Il peut évoluer avec un programme ou une position nouvelle.</w:t>
            </w:r>
          </w:p>
        </w:tc>
      </w:tr>
    </w:tbl>
    <w:p>
      <w:pPr>
        <w:spacing w:after="6" w:before="0"/>
      </w:pPr>
    </w:p>
    <w:tbl>
      <w:tblPr>
        <w:tblW w:type="dxa" w:w="9240"/>
        <w:tblLayout w:type="fixed"/>
        <w:tblLook w:firstColumn="1" w:firstRow="1" w:lastColumn="0" w:lastRow="0" w:noHBand="0" w:noVBand="1" w:val="04A0"/>
        <w:tblInd w:w="120" w:type="dxa"/>
      </w:tblPr>
      <w:tblGrid>
        <w:gridCol w:w="2620"/>
        <w:gridCol w:w="6620"/>
      </w:tblGrid>
      <w:tr>
        <w:tc>
          <w:tcPr>
            <w:tcW w:type="dxa" w:w="2620"/>
            <w:shd w:fill="171918"/>
            <w:tcMar>
              <w:top w:w="85" w:type="dxa"/>
              <w:start w:w="100" w:type="dxa"/>
              <w:bottom w:w="85" w:type="dxa"/>
              <w:end w:w="100" w:type="dxa"/>
            </w:tcMar>
            <w:vAlign w:val="center"/>
            <w:tcBorders>
              <w:bottom w:val="single" w:sz="3" w:color="D9D3C7"/>
            </w:tcBorders>
          </w:tcPr>
          <w:p>
            <w:r>
              <w:rPr>
                <w:rFonts w:ascii="Arial" w:hAnsi="Arial"/>
                <w:b/>
                <w:color w:val="502379"/>
                <w:sz w:val="16"/>
              </w:rPr>
              <w:t>Axes équipondérés</w:t>
            </w:r>
          </w:p>
        </w:tc>
        <w:tc>
          <w:tcPr>
            <w:tcW w:type="dxa" w:w="6620"/>
            <w:shd w:fill="FFFDF9"/>
            <w:tcMar>
              <w:top w:w="85" w:type="dxa"/>
              <w:start w:w="100" w:type="dxa"/>
              <w:bottom w:w="85" w:type="dxa"/>
              <w:end w:w="100" w:type="dxa"/>
            </w:tcMar>
            <w:vAlign w:val="center"/>
            <w:tcBorders>
              <w:bottom w:val="single" w:sz="3" w:color="D9D3C7"/>
            </w:tcBorders>
          </w:tcPr>
          <w:p>
            <w:r>
              <w:rPr>
                <w:rFonts w:ascii="Arial" w:hAnsi="Arial"/>
                <w:color w:val="171918"/>
                <w:sz w:val="15"/>
              </w:rPr>
              <w:t>Les dix axes comptent chacun pour 10 %. Ce choix transparent évite une pondération cachée, mais ne reflète pas les priorités propres à chaque lecteur.</w:t>
            </w:r>
          </w:p>
        </w:tc>
      </w:tr>
    </w:tbl>
    <w:p>
      <w:pPr>
        <w:spacing w:after="6" w:before="0"/>
      </w:pPr>
    </w:p>
    <w:tbl>
      <w:tblPr>
        <w:tblW w:type="dxa" w:w="9240"/>
        <w:tblLayout w:type="fixed"/>
        <w:tblLook w:firstColumn="1" w:firstRow="1" w:lastColumn="0" w:lastRow="0" w:noHBand="0" w:noVBand="1" w:val="04A0"/>
        <w:tblInd w:w="120" w:type="dxa"/>
      </w:tblPr>
      <w:tblGrid>
        <w:gridCol w:w="2620"/>
        <w:gridCol w:w="6620"/>
      </w:tblGrid>
      <w:tr>
        <w:tc>
          <w:tcPr>
            <w:tcW w:type="dxa" w:w="2620"/>
            <w:shd w:fill="171918"/>
            <w:tcMar>
              <w:top w:w="85" w:type="dxa"/>
              <w:start w:w="100" w:type="dxa"/>
              <w:bottom w:w="85" w:type="dxa"/>
              <w:end w:w="100" w:type="dxa"/>
            </w:tcMar>
            <w:vAlign w:val="center"/>
            <w:tcBorders>
              <w:bottom w:val="single" w:sz="3" w:color="D9D3C7"/>
            </w:tcBorders>
          </w:tcPr>
          <w:p>
            <w:r>
              <w:rPr>
                <w:rFonts w:ascii="Arial" w:hAnsi="Arial"/>
                <w:b/>
                <w:color w:val="502379"/>
                <w:sz w:val="16"/>
              </w:rPr>
              <w:t>Comparaison des référentiels</w:t>
            </w:r>
          </w:p>
        </w:tc>
        <w:tc>
          <w:tcPr>
            <w:tcW w:type="dxa" w:w="6620"/>
            <w:shd w:fill="F1ECE2"/>
            <w:tcMar>
              <w:top w:w="85" w:type="dxa"/>
              <w:start w:w="100" w:type="dxa"/>
              <w:bottom w:w="85" w:type="dxa"/>
              <w:end w:w="100" w:type="dxa"/>
            </w:tcMar>
            <w:vAlign w:val="center"/>
            <w:tcBorders>
              <w:bottom w:val="single" w:sz="3" w:color="D9D3C7"/>
            </w:tcBorders>
          </w:tcPr>
          <w:p>
            <w:r>
              <w:rPr>
                <w:rFonts w:ascii="Arial" w:hAnsi="Arial"/>
                <w:color w:val="171918"/>
                <w:sz w:val="15"/>
              </w:rPr>
              <w:t>Les scores se lisent d’abord à l’intérieur de chaque référentiel. Le Parti Pirate, Volt, Équinoxe et La France Humaniste sont comparés séparément. Aucune moyenne générale n’est calculée. Les axes se recoupent partiellement et reposent en partie sur les mêmes sources candidates : la convergence de plusieurs classements ne constitue donc pas quatre validations indépendantes.</w:t>
            </w:r>
          </w:p>
        </w:tc>
      </w:tr>
    </w:tbl>
    <w:p>
      <w:pPr>
        <w:spacing w:after="6" w:before="0"/>
      </w:pPr>
    </w:p>
    <w:tbl>
      <w:tblPr>
        <w:tblW w:type="dxa" w:w="9240"/>
        <w:tblLayout w:type="fixed"/>
        <w:tblLook w:firstColumn="1" w:firstRow="1" w:lastColumn="0" w:lastRow="0" w:noHBand="0" w:noVBand="1" w:val="04A0"/>
        <w:tblInd w:w="120" w:type="dxa"/>
      </w:tblPr>
      <w:tblGrid>
        <w:gridCol w:w="2620"/>
        <w:gridCol w:w="6620"/>
      </w:tblGrid>
      <w:tr>
        <w:tc>
          <w:tcPr>
            <w:tcW w:type="dxa" w:w="2620"/>
            <w:shd w:fill="171918"/>
            <w:tcMar>
              <w:top w:w="85" w:type="dxa"/>
              <w:start w:w="100" w:type="dxa"/>
              <w:bottom w:w="85" w:type="dxa"/>
              <w:end w:w="100" w:type="dxa"/>
            </w:tcMar>
            <w:vAlign w:val="center"/>
            <w:tcBorders>
              <w:bottom w:val="single" w:sz="3" w:color="D9D3C7"/>
            </w:tcBorders>
          </w:tcPr>
          <w:p>
            <w:r>
              <w:rPr>
                <w:rFonts w:ascii="Arial" w:hAnsi="Arial"/>
                <w:b/>
                <w:color w:val="502379"/>
                <w:sz w:val="16"/>
              </w:rPr>
              <w:t>Sélection des candidatures</w:t>
            </w:r>
          </w:p>
        </w:tc>
        <w:tc>
          <w:tcPr>
            <w:tcW w:type="dxa" w:w="6620"/>
            <w:shd w:fill="FFFDF9"/>
            <w:tcMar>
              <w:top w:w="85" w:type="dxa"/>
              <w:start w:w="100" w:type="dxa"/>
              <w:bottom w:w="85" w:type="dxa"/>
              <w:end w:w="100" w:type="dxa"/>
            </w:tcMar>
            <w:vAlign w:val="center"/>
            <w:tcBorders>
              <w:bottom w:val="single" w:sz="3" w:color="D9D3C7"/>
            </w:tcBorders>
          </w:tcPr>
          <w:p>
            <w:r>
              <w:rPr>
                <w:rFonts w:ascii="Arial" w:hAnsi="Arial"/>
                <w:color w:val="171918"/>
                <w:sz w:val="15"/>
              </w:rPr>
              <w:t>Dix figures nationales susceptibles de structurer 2027 ont été retenues afin de couvrir les principales familles politiques. La liste, arrêtée au 30 juillet 2026, n’est ni exhaustive ni une prédiction de candidature.</w:t>
            </w:r>
          </w:p>
        </w:tc>
      </w:tr>
    </w:tbl>
    <w:p>
      <w:pPr>
        <w:spacing w:after="6" w:before="0"/>
      </w:pPr>
    </w:p>
    <w:tbl>
      <w:tblPr>
        <w:tblW w:type="dxa" w:w="9240"/>
        <w:tblLayout w:type="fixed"/>
        <w:tblLook w:firstColumn="1" w:firstRow="1" w:lastColumn="0" w:lastRow="0" w:noHBand="0" w:noVBand="1" w:val="04A0"/>
        <w:tblInd w:w="120" w:type="dxa"/>
      </w:tblPr>
      <w:tblGrid>
        <w:gridCol w:w="2620"/>
        <w:gridCol w:w="6620"/>
      </w:tblGrid>
      <w:tr>
        <w:tc>
          <w:tcPr>
            <w:tcW w:type="dxa" w:w="2620"/>
            <w:shd w:fill="171918"/>
            <w:tcMar>
              <w:top w:w="85" w:type="dxa"/>
              <w:start w:w="100" w:type="dxa"/>
              <w:bottom w:w="85" w:type="dxa"/>
              <w:end w:w="100" w:type="dxa"/>
            </w:tcMar>
            <w:vAlign w:val="center"/>
            <w:tcBorders>
              <w:bottom w:val="single" w:sz="3" w:color="D9D3C7"/>
            </w:tcBorders>
          </w:tcPr>
          <w:p>
            <w:r>
              <w:rPr>
                <w:rFonts w:ascii="Arial" w:hAnsi="Arial"/>
                <w:b/>
                <w:color w:val="502379"/>
                <w:sz w:val="16"/>
              </w:rPr>
              <w:t>Corpus et incertitudes</w:t>
            </w:r>
          </w:p>
        </w:tc>
        <w:tc>
          <w:tcPr>
            <w:tcW w:type="dxa" w:w="6620"/>
            <w:shd w:fill="F1ECE2"/>
            <w:tcMar>
              <w:top w:w="85" w:type="dxa"/>
              <w:start w:w="100" w:type="dxa"/>
              <w:bottom w:w="85" w:type="dxa"/>
              <w:end w:w="100" w:type="dxa"/>
            </w:tcMar>
            <w:vAlign w:val="center"/>
            <w:tcBorders>
              <w:bottom w:val="single" w:sz="3" w:color="D9D3C7"/>
            </w:tcBorders>
          </w:tcPr>
          <w:p>
            <w:r>
              <w:rPr>
                <w:rFonts w:ascii="Arial" w:hAnsi="Arial"/>
                <w:color w:val="171918"/>
                <w:sz w:val="15"/>
              </w:rPr>
              <w:t>Sources arrêtées au 30 juillet 2026. Les programmes incomplets sont complétés par des votes, bilans et prises de position. L’absence de position limite la note possible sans être assimilée à une opposition.</w:t>
            </w:r>
          </w:p>
        </w:tc>
      </w:tr>
    </w:tbl>
    <w:p>
      <w:pPr>
        <w:spacing w:after="6" w:before="0"/>
      </w:pPr>
    </w:p>
    <w:tbl>
      <w:tblPr>
        <w:tblW w:type="dxa" w:w="9240"/>
        <w:tblLayout w:type="fixed"/>
        <w:tblLook w:firstColumn="1" w:firstRow="1" w:lastColumn="0" w:lastRow="0" w:noHBand="0" w:noVBand="1" w:val="04A0"/>
        <w:tblInd w:w="120" w:type="dxa"/>
      </w:tblPr>
      <w:tblGrid>
        <w:gridCol w:w="2620"/>
        <w:gridCol w:w="6620"/>
      </w:tblGrid>
      <w:tr>
        <w:tc>
          <w:tcPr>
            <w:tcW w:type="dxa" w:w="2620"/>
            <w:shd w:fill="171918"/>
            <w:tcMar>
              <w:top w:w="85" w:type="dxa"/>
              <w:start w:w="100" w:type="dxa"/>
              <w:bottom w:w="85" w:type="dxa"/>
              <w:end w:w="100" w:type="dxa"/>
            </w:tcMar>
            <w:vAlign w:val="center"/>
            <w:tcBorders>
              <w:bottom w:val="single" w:sz="3" w:color="D9D3C7"/>
            </w:tcBorders>
          </w:tcPr>
          <w:p>
            <w:r>
              <w:rPr>
                <w:rFonts w:ascii="Arial" w:hAnsi="Arial"/>
                <w:b/>
                <w:color w:val="502379"/>
                <w:sz w:val="16"/>
              </w:rPr>
              <w:t>Assistance par IA</w:t>
            </w:r>
          </w:p>
        </w:tc>
        <w:tc>
          <w:tcPr>
            <w:tcW w:type="dxa" w:w="6620"/>
            <w:shd w:fill="FFFDF9"/>
            <w:tcMar>
              <w:top w:w="85" w:type="dxa"/>
              <w:start w:w="100" w:type="dxa"/>
              <w:bottom w:w="85" w:type="dxa"/>
              <w:end w:w="100" w:type="dxa"/>
            </w:tcMar>
            <w:vAlign w:val="center"/>
            <w:tcBorders>
              <w:bottom w:val="single" w:sz="3" w:color="D9D3C7"/>
            </w:tcBorders>
          </w:tcPr>
          <w:p>
            <w:r>
              <w:rPr>
                <w:rFonts w:ascii="Arial" w:hAnsi="Arial"/>
                <w:color w:val="171918"/>
                <w:sz w:val="15"/>
              </w:rPr>
              <w:t>L’analyse a été préparée avec l’assistance de ChatGPT (OpenAI). Les positions et les justifications reposent sur les sources citées dans cette notice.</w:t>
            </w:r>
          </w:p>
        </w:tc>
      </w:tr>
    </w:tbl>
    <w:p>
      <w:pPr>
        <w:spacing w:after="6" w:before="0"/>
      </w:pPr>
    </w:p>
    <w:tbl>
      <w:tblPr>
        <w:tblW w:type="dxa" w:w="9240"/>
        <w:tblLayout w:type="fixed"/>
        <w:tblLook w:firstColumn="1" w:firstRow="1" w:lastColumn="0" w:lastRow="0" w:noHBand="0" w:noVBand="1" w:val="04A0"/>
        <w:tblInd w:w="120" w:type="dxa"/>
      </w:tblPr>
      <w:tblGrid>
        <w:gridCol w:w="2620"/>
        <w:gridCol w:w="6620"/>
      </w:tblGrid>
      <w:tr>
        <w:tc>
          <w:tcPr>
            <w:tcW w:type="dxa" w:w="2620"/>
            <w:shd w:fill="171918"/>
            <w:tcMar>
              <w:top w:w="85" w:type="dxa"/>
              <w:start w:w="100" w:type="dxa"/>
              <w:bottom w:w="85" w:type="dxa"/>
              <w:end w:w="100" w:type="dxa"/>
            </w:tcMar>
            <w:vAlign w:val="center"/>
            <w:tcBorders>
              <w:bottom w:val="single" w:sz="3" w:color="D9D3C7"/>
            </w:tcBorders>
          </w:tcPr>
          <w:p>
            <w:r>
              <w:rPr>
                <w:rFonts w:ascii="Arial" w:hAnsi="Arial"/>
                <w:b/>
                <w:color w:val="502379"/>
                <w:sz w:val="16"/>
              </w:rPr>
              <w:t>Portée du résultat</w:t>
            </w:r>
          </w:p>
        </w:tc>
        <w:tc>
          <w:tcPr>
            <w:tcW w:type="dxa" w:w="6620"/>
            <w:shd w:fill="F1ECE2"/>
            <w:tcMar>
              <w:top w:w="85" w:type="dxa"/>
              <w:start w:w="100" w:type="dxa"/>
              <w:bottom w:w="85" w:type="dxa"/>
              <w:end w:w="100" w:type="dxa"/>
            </w:tcMar>
            <w:vAlign w:val="center"/>
            <w:tcBorders>
              <w:bottom w:val="single" w:sz="3" w:color="D9D3C7"/>
            </w:tcBorders>
          </w:tcPr>
          <w:p>
            <w:r>
              <w:rPr>
                <w:rFonts w:ascii="Arial" w:hAnsi="Arial"/>
                <w:color w:val="171918"/>
                <w:sz w:val="15"/>
              </w:rPr>
              <w:t>Le total ne juge ni la compétence, ni la crédibilité, ni l’intégrité, ni la faisabilité budgétaire. Il mesure uniquement la proximité avec le référentiel choisi. Ce document n’est ni une publication officielle de Volt ni une consigne de vote.</w:t>
            </w:r>
          </w:p>
        </w:tc>
      </w:tr>
    </w:tbl>
    <w:p>
      <w:pPr>
        <w:spacing w:after="6" w:before="0"/>
      </w:pPr>
    </w:p>
    <w:p>
      <w:pPr>
        <w:spacing w:after="0" w:before="0"/>
      </w:pPr>
    </w:p>
    <w:p>
      <w:r>
        <w:br w:type="page"/>
      </w:r>
    </w:p>
    <w:p>
      <w:pPr>
        <w:spacing w:before="0" w:after="40"/>
      </w:pPr>
      <w:r>
        <w:rPr>
          <w:rFonts w:ascii="Arial" w:hAnsi="Arial"/>
          <w:b/>
          <w:color w:val="502379"/>
          <w:sz w:val="15"/>
        </w:rPr>
        <w:t>SOURCES</w:t>
      </w:r>
    </w:p>
    <w:p>
      <w:pPr>
        <w:pStyle w:val="Title"/>
        <w:spacing w:after="100"/>
        <w:pBdr>
          <w:bottom w:val="single" w:sz="8" w:space="3" w:color="502379"/>
        </w:pBdr>
      </w:pPr>
      <w:r>
        <w:rPr>
          <w:rFonts w:ascii="Arial" w:hAnsi="Arial"/>
          <w:b/>
          <w:color w:val="171918"/>
          <w:sz w:val="52"/>
        </w:rPr>
        <w:t>Référentiel et sources — 1/2</w:t>
      </w:r>
    </w:p>
    <w:p>
      <w:pPr>
        <w:spacing w:after="140"/>
      </w:pPr>
      <w:r>
        <w:rPr>
          <w:rFonts w:ascii="Arial" w:hAnsi="Arial"/>
          <w:color w:val="6C6A66"/>
          <w:sz w:val="19"/>
        </w:rPr>
        <w:t>Liens officiels ou documents directs privilégiés ; les programmes incomplets sont complétés par des propositions et prises de position publiques.</w:t>
      </w: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Volt Europa — Moonshot 2024 (version française)</w:t>
            </w:r>
            <w:r>
              <w:rPr>
                <w:rFonts w:ascii="Arial" w:hAnsi="Arial"/>
                <w:color w:val="6C6A66"/>
                <w:sz w:val="16"/>
              </w:rPr>
              <w:t xml:space="preserve"> — </w:t>
            </w:r>
            <w:hyperlink r:id="rId38">
              <w:r>
                <w:rPr>
                  <w:rFonts w:ascii="Arial" w:hAnsi="Arial"/>
                  <w:color w:val="365899"/>
                  <w:u w:val="single"/>
                </w:rPr>
                <w:t>voltfrance.org/storage/pdf/pdfs_moonshot/moonshot--fr.pdf</w:t>
              </w:r>
            </w:hyperlink>
          </w:p>
          <w:p>
            <w:pPr>
              <w:spacing w:after="0"/>
            </w:pPr>
            <w:r>
              <w:rPr>
                <w:rFonts w:ascii="Arial" w:hAnsi="Arial"/>
                <w:color w:val="6C6A66"/>
                <w:sz w:val="15"/>
              </w:rPr>
              <w:t>Programme paneuropéen complet ; base principale du référentiel en dix axes.</w:t>
            </w:r>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Volt France — programme européen 2024</w:t>
            </w:r>
            <w:r>
              <w:rPr>
                <w:rFonts w:ascii="Arial" w:hAnsi="Arial"/>
                <w:color w:val="6C6A66"/>
                <w:sz w:val="16"/>
              </w:rPr>
              <w:t xml:space="preserve"> — </w:t>
            </w:r>
            <w:hyperlink r:id="rId39">
              <w:r>
                <w:rPr>
                  <w:rFonts w:ascii="Arial" w:hAnsi="Arial"/>
                  <w:color w:val="365899"/>
                  <w:u w:val="single"/>
                </w:rPr>
                <w:t>voltfrance.org/politiques/programme-electoral-pour-les-elections-europeennes</w:t>
              </w:r>
            </w:hyperlink>
          </w:p>
          <w:p>
            <w:pPr>
              <w:spacing w:after="0"/>
            </w:pPr>
            <w:r>
              <w:rPr>
                <w:rFonts w:ascii="Arial" w:hAnsi="Arial"/>
                <w:color w:val="6C6A66"/>
                <w:sz w:val="15"/>
              </w:rPr>
              <w:t>Présentation officielle française et priorités politiques.</w:t>
            </w:r>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Volt Europa — référentiel politique</w:t>
            </w:r>
            <w:r>
              <w:rPr>
                <w:rFonts w:ascii="Arial" w:hAnsi="Arial"/>
                <w:color w:val="6C6A66"/>
                <w:sz w:val="16"/>
              </w:rPr>
              <w:t xml:space="preserve"> — </w:t>
            </w:r>
            <w:hyperlink r:id="rId40">
              <w:r>
                <w:rPr>
                  <w:rFonts w:ascii="Arial" w:hAnsi="Arial"/>
                  <w:color w:val="365899"/>
                  <w:u w:val="single"/>
                </w:rPr>
                <w:t>volteuropa.org/policies/all-policies</w:t>
              </w:r>
            </w:hyperlink>
          </w:p>
          <w:p>
            <w:pPr>
              <w:spacing w:after="0"/>
            </w:pPr>
            <w:r>
              <w:rPr>
                <w:rFonts w:ascii="Arial" w:hAnsi="Arial"/>
                <w:color w:val="6C6A66"/>
                <w:sz w:val="15"/>
              </w:rPr>
              <w:t>Politiques générales complétant le programme électoral.</w:t>
            </w:r>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Les Écologistes — programme 2026</w:t>
            </w:r>
            <w:r>
              <w:rPr>
                <w:rFonts w:ascii="Arial" w:hAnsi="Arial"/>
                <w:color w:val="6C6A66"/>
                <w:sz w:val="16"/>
              </w:rPr>
              <w:t xml:space="preserve"> — </w:t>
            </w:r>
            <w:hyperlink r:id="rId41">
              <w:r>
                <w:rPr>
                  <w:rFonts w:ascii="Arial" w:hAnsi="Arial"/>
                  <w:color w:val="365899"/>
                  <w:u w:val="single"/>
                </w:rPr>
                <w:t>lesecologistes.fr/document/5ZhR2m5t2ZaGKqIdD1bJaD/vdef-programme-1.pdf</w:t>
              </w:r>
            </w:hyperlink>
          </w:p>
          <w:p>
            <w:pPr>
              <w:spacing w:after="0"/>
            </w:pPr>
            <w:r>
              <w:rPr>
                <w:rFonts w:ascii="Arial" w:hAnsi="Arial"/>
                <w:color w:val="6C6A66"/>
                <w:sz w:val="15"/>
              </w:rPr>
              <w:t>Source principale pour Marine Tondelier.</w:t>
            </w:r>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Place publique — Acte I</w:t>
            </w:r>
            <w:r>
              <w:rPr>
                <w:rFonts w:ascii="Arial" w:hAnsi="Arial"/>
                <w:color w:val="6C6A66"/>
                <w:sz w:val="16"/>
              </w:rPr>
              <w:t xml:space="preserve"> — </w:t>
            </w:r>
            <w:hyperlink r:id="rId42">
              <w:r>
                <w:rPr>
                  <w:rFonts w:ascii="Arial" w:hAnsi="Arial"/>
                  <w:color w:val="365899"/>
                  <w:u w:val="single"/>
                </w:rPr>
                <w:t>place-publique.eu/document/3Ari5O0s5O1L4iK1uyUhI0/pp-acte-un.pdf</w:t>
              </w:r>
            </w:hyperlink>
          </w:p>
          <w:p>
            <w:pPr>
              <w:spacing w:after="0"/>
            </w:pPr>
            <w:r>
              <w:rPr>
                <w:rFonts w:ascii="Arial" w:hAnsi="Arial"/>
                <w:color w:val="6C6A66"/>
                <w:sz w:val="15"/>
              </w:rPr>
              <w:t>Source principale pour Raphaël Glucksmann.</w:t>
            </w:r>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François Ruffin — propositions et articles</w:t>
            </w:r>
            <w:r>
              <w:rPr>
                <w:rFonts w:ascii="Arial" w:hAnsi="Arial"/>
                <w:color w:val="6C6A66"/>
                <w:sz w:val="16"/>
              </w:rPr>
              <w:t xml:space="preserve"> — </w:t>
            </w:r>
            <w:hyperlink r:id="rId43">
              <w:r>
                <w:rPr>
                  <w:rFonts w:ascii="Arial" w:hAnsi="Arial"/>
                  <w:color w:val="365899"/>
                  <w:u w:val="single"/>
                </w:rPr>
                <w:t>francoisruffin.fr</w:t>
              </w:r>
            </w:hyperlink>
          </w:p>
          <w:p>
            <w:pPr>
              <w:spacing w:after="0"/>
            </w:pPr>
            <w:r>
              <w:rPr>
                <w:rFonts w:ascii="Arial" w:hAnsi="Arial"/>
                <w:color w:val="6C6A66"/>
                <w:sz w:val="15"/>
              </w:rPr>
              <w:t>Climat, transports, services publics, démocratie et économie.</w:t>
            </w:r>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Ruffin — doctrine européenne</w:t>
            </w:r>
            <w:r>
              <w:rPr>
                <w:rFonts w:ascii="Arial" w:hAnsi="Arial"/>
                <w:color w:val="6C6A66"/>
                <w:sz w:val="16"/>
              </w:rPr>
              <w:t xml:space="preserve"> — </w:t>
            </w:r>
            <w:hyperlink r:id="rId44">
              <w:r>
                <w:rPr>
                  <w:rFonts w:ascii="Arial" w:hAnsi="Arial"/>
                  <w:color w:val="365899"/>
                  <w:u w:val="single"/>
                </w:rPr>
                <w:t>legrandcontinent.eu/fr/2026/02/25/pour-une-declaration-dindependance-la-doctrine-ruff…</w:t>
              </w:r>
            </w:hyperlink>
          </w:p>
          <w:p>
            <w:pPr>
              <w:spacing w:after="0"/>
            </w:pPr>
            <w:r>
              <w:rPr>
                <w:rFonts w:ascii="Arial" w:hAnsi="Arial"/>
                <w:color w:val="6C6A66"/>
                <w:sz w:val="15"/>
              </w:rPr>
              <w:t>Europe, défense, autonomie stratégique et Ukraine.</w:t>
            </w:r>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LFI — programme européen 2024</w:t>
            </w:r>
            <w:r>
              <w:rPr>
                <w:rFonts w:ascii="Arial" w:hAnsi="Arial"/>
                <w:color w:val="6C6A66"/>
                <w:sz w:val="16"/>
              </w:rPr>
              <w:t xml:space="preserve"> — </w:t>
            </w:r>
            <w:hyperlink r:id="rId45">
              <w:r>
                <w:rPr>
                  <w:rFonts w:ascii="Arial" w:hAnsi="Arial"/>
                  <w:color w:val="365899"/>
                  <w:u w:val="single"/>
                </w:rPr>
                <w:t>lafranceinsoumise.fr/wp-content/uploads/2024/05/PROGRAMME-UNION-POPULAIRE_EURO-2024.pdf</w:t>
              </w:r>
            </w:hyperlink>
          </w:p>
          <w:p>
            <w:pPr>
              <w:spacing w:after="0"/>
            </w:pPr>
            <w:r>
              <w:rPr>
                <w:rFonts w:ascii="Arial" w:hAnsi="Arial"/>
                <w:color w:val="6C6A66"/>
                <w:sz w:val="15"/>
              </w:rPr>
              <w:t>Source principale pour Jean-Luc Mélenchon.</w:t>
            </w:r>
          </w:p>
        </w:tc>
      </w:tr>
    </w:tbl>
    <w:p>
      <w:pPr>
        <w:spacing w:after="6" w:before="0"/>
      </w:pPr>
    </w:p>
    <w:p>
      <w:r>
        <w:br w:type="page"/>
      </w:r>
    </w:p>
    <w:p>
      <w:pPr>
        <w:spacing w:before="0" w:after="40"/>
      </w:pPr>
      <w:r>
        <w:rPr>
          <w:rFonts w:ascii="Arial" w:hAnsi="Arial"/>
          <w:b/>
          <w:color w:val="502379"/>
          <w:sz w:val="15"/>
        </w:rPr>
        <w:t>SOURCES</w:t>
      </w:r>
    </w:p>
    <w:p>
      <w:pPr>
        <w:pStyle w:val="Title"/>
        <w:spacing w:after="100"/>
        <w:pBdr>
          <w:bottom w:val="single" w:sz="8" w:space="3" w:color="502379"/>
        </w:pBdr>
      </w:pPr>
      <w:r>
        <w:rPr>
          <w:rFonts w:ascii="Arial" w:hAnsi="Arial"/>
          <w:b/>
          <w:color w:val="171918"/>
          <w:sz w:val="52"/>
        </w:rPr>
        <w:t>Sources candidates — 2/2</w:t>
      </w:r>
    </w:p>
    <w:p>
      <w:pPr>
        <w:spacing w:after="140"/>
      </w:pPr>
      <w:r>
        <w:rPr>
          <w:rFonts w:ascii="Arial" w:hAnsi="Arial"/>
          <w:color w:val="6C6A66"/>
          <w:sz w:val="19"/>
        </w:rPr>
        <w:t>Liens officiels ou documents directs privilégiés ; les programmes incomplets sont complétés par des propositions et prises de position publiques.</w:t>
      </w: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PCF — programme européen 2024</w:t>
            </w:r>
            <w:r>
              <w:rPr>
                <w:rFonts w:ascii="Arial" w:hAnsi="Arial"/>
                <w:color w:val="6C6A66"/>
                <w:sz w:val="16"/>
              </w:rPr>
              <w:t xml:space="preserve"> — </w:t>
            </w:r>
            <w:hyperlink r:id="rId46">
              <w:r>
                <w:rPr>
                  <w:rFonts w:ascii="Arial" w:hAnsi="Arial"/>
                  <w:color w:val="365899"/>
                  <w:u w:val="single"/>
                </w:rPr>
                <w:t>oise.pcf.fr/sites/default/files/e2024-gumt-programme.pdf</w:t>
              </w:r>
            </w:hyperlink>
          </w:p>
          <w:p>
            <w:pPr>
              <w:spacing w:after="0"/>
            </w:pPr>
            <w:r>
              <w:rPr>
                <w:rFonts w:ascii="Arial" w:hAnsi="Arial"/>
                <w:color w:val="6C6A66"/>
                <w:sz w:val="15"/>
              </w:rPr>
              <w:t>Source principale pour Fabien Roussel.</w:t>
            </w:r>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Gabriel Attal — propositions officielles</w:t>
            </w:r>
            <w:r>
              <w:rPr>
                <w:rFonts w:ascii="Arial" w:hAnsi="Arial"/>
                <w:color w:val="6C6A66"/>
                <w:sz w:val="16"/>
              </w:rPr>
              <w:t xml:space="preserve"> — </w:t>
            </w:r>
            <w:hyperlink r:id="rId47">
              <w:r>
                <w:rPr>
                  <w:rFonts w:ascii="Arial" w:hAnsi="Arial"/>
                  <w:color w:val="365899"/>
                  <w:u w:val="single"/>
                </w:rPr>
                <w:t>attalpresident.fr/programme</w:t>
              </w:r>
            </w:hyperlink>
          </w:p>
          <w:p>
            <w:pPr>
              <w:spacing w:after="0"/>
            </w:pPr>
            <w:r>
              <w:rPr>
                <w:rFonts w:ascii="Arial" w:hAnsi="Arial"/>
                <w:color w:val="6C6A66"/>
                <w:sz w:val="15"/>
              </w:rPr>
              <w:t>Programme publié par thèmes, complété par le bilan gouvernemental.</w:t>
            </w:r>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Horizons — travaux et propositions</w:t>
            </w:r>
            <w:r>
              <w:rPr>
                <w:rFonts w:ascii="Arial" w:hAnsi="Arial"/>
                <w:color w:val="6C6A66"/>
                <w:sz w:val="16"/>
              </w:rPr>
              <w:t xml:space="preserve"> — </w:t>
            </w:r>
            <w:hyperlink r:id="rId48">
              <w:r>
                <w:rPr>
                  <w:rFonts w:ascii="Arial" w:hAnsi="Arial"/>
                  <w:color w:val="365899"/>
                  <w:u w:val="single"/>
                </w:rPr>
                <w:t>horizonsleparti.fr</w:t>
              </w:r>
            </w:hyperlink>
          </w:p>
          <w:p>
            <w:pPr>
              <w:spacing w:after="0"/>
            </w:pPr>
            <w:r>
              <w:rPr>
                <w:rFonts w:ascii="Arial" w:hAnsi="Arial"/>
                <w:color w:val="6C6A66"/>
                <w:sz w:val="15"/>
              </w:rPr>
              <w:t>Base programmatique pour Édouard Philippe.</w:t>
            </w:r>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Rassemblement national — programme 2024</w:t>
            </w:r>
            <w:r>
              <w:rPr>
                <w:rFonts w:ascii="Arial" w:hAnsi="Arial"/>
                <w:color w:val="6C6A66"/>
                <w:sz w:val="16"/>
              </w:rPr>
              <w:t xml:space="preserve"> — </w:t>
            </w:r>
            <w:hyperlink r:id="rId49">
              <w:r>
                <w:rPr>
                  <w:rFonts w:ascii="Arial" w:hAnsi="Arial"/>
                  <w:color w:val="365899"/>
                  <w:u w:val="single"/>
                </w:rPr>
                <w:t>rassemblementnational.fr/documents/202406-programme.pdf</w:t>
              </w:r>
            </w:hyperlink>
          </w:p>
          <w:p>
            <w:pPr>
              <w:spacing w:after="0"/>
            </w:pPr>
            <w:r>
              <w:rPr>
                <w:rFonts w:ascii="Arial" w:hAnsi="Arial"/>
                <w:color w:val="6C6A66"/>
                <w:sz w:val="15"/>
              </w:rPr>
              <w:t>Source principale pour Marine Le Pen.</w:t>
            </w:r>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Les Républicains — actualités et propositions</w:t>
            </w:r>
            <w:r>
              <w:rPr>
                <w:rFonts w:ascii="Arial" w:hAnsi="Arial"/>
                <w:color w:val="6C6A66"/>
                <w:sz w:val="16"/>
              </w:rPr>
              <w:t xml:space="preserve"> — </w:t>
            </w:r>
            <w:hyperlink r:id="rId50">
              <w:r>
                <w:rPr>
                  <w:rFonts w:ascii="Arial" w:hAnsi="Arial"/>
                  <w:color w:val="365899"/>
                  <w:u w:val="single"/>
                </w:rPr>
                <w:t>republicains.fr/actualites</w:t>
              </w:r>
            </w:hyperlink>
          </w:p>
          <w:p>
            <w:pPr>
              <w:spacing w:after="0"/>
            </w:pPr>
            <w:r>
              <w:rPr>
                <w:rFonts w:ascii="Arial" w:hAnsi="Arial"/>
                <w:color w:val="6C6A66"/>
                <w:sz w:val="15"/>
              </w:rPr>
              <w:t>Base thématique pour Bruno Retailleau.</w:t>
            </w:r>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Reconquête — déclaration présidentielle 2022</w:t>
            </w:r>
            <w:r>
              <w:rPr>
                <w:rFonts w:ascii="Arial" w:hAnsi="Arial"/>
                <w:color w:val="6C6A66"/>
                <w:sz w:val="16"/>
              </w:rPr>
              <w:t xml:space="preserve"> — </w:t>
            </w:r>
            <w:hyperlink r:id="rId51">
              <w:r>
                <w:rPr>
                  <w:rFonts w:ascii="Arial" w:hAnsi="Arial"/>
                  <w:color w:val="365899"/>
                  <w:u w:val="single"/>
                </w:rPr>
                <w:t>www.cnccep.fr/pdfs/Candidat-12-Eric-Zemmour-Declaration.pdf</w:t>
              </w:r>
            </w:hyperlink>
          </w:p>
          <w:p>
            <w:pPr>
              <w:spacing w:after="0"/>
            </w:pPr>
            <w:r>
              <w:rPr>
                <w:rFonts w:ascii="Arial" w:hAnsi="Arial"/>
                <w:color w:val="6C6A66"/>
                <w:sz w:val="15"/>
              </w:rPr>
              <w:t>Base principale pour Éric Zemmour, complétée par ses positions ultérieures.</w:t>
            </w:r>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3F0E8"/>
            <w:tcMar>
              <w:top w:w="115" w:type="dxa"/>
              <w:start w:w="140" w:type="dxa"/>
              <w:bottom w:w="115" w:type="dxa"/>
              <w:end w:w="140" w:type="dxa"/>
            </w:tcMar>
            <w:tcBorders>
              <w:top w:val="single" w:sz="8" w:color="502379"/>
              <w:start w:val="single" w:sz="8" w:color="502379"/>
              <w:bottom w:val="single" w:sz="8" w:color="502379"/>
              <w:end w:val="single" w:sz="8" w:color="502379"/>
            </w:tcBorders>
          </w:tcPr>
          <w:p>
            <w:pPr>
              <w:spacing w:after="40"/>
            </w:pPr>
            <w:r>
              <w:rPr>
                <w:rFonts w:ascii="Arial" w:hAnsi="Arial"/>
                <w:b/>
                <w:color w:val="502379"/>
                <w:sz w:val="18"/>
              </w:rPr>
              <w:t>Crédits visuels</w:t>
            </w:r>
          </w:p>
          <w:p>
            <w:pPr>
              <w:spacing w:after="0"/>
            </w:pPr>
            <w:r>
              <w:rPr>
                <w:rFonts w:ascii="Arial" w:hAnsi="Arial"/>
                <w:color w:val="171918"/>
                <w:sz w:val="16"/>
              </w:rPr>
              <w:t>Crédits visuels</w:t>
              <w:br/>
              <w:t>Éric Zemmour : Anh De France (CC0). Bruno Retailleau : UK Home Office / Andy Taylor (CC BY 2.0). Marine Le Pen : VOX España (domaine public). Édouard Philippe : Wasasaq8 (CC0). Gabriel Attal : Sydney Phoenix / DHS (domaine public). Fabien Roussel : Zouhair Nakara (CC BY-SA 4.0). Raphaël Glucksmann : Union européenne 2024 — Parlement européen. Jean-Luc Mélenchon : Thomas Bresson (CC BY 4.0). François Ruffin : Thinkerview (CC BY-SA 4.0). Marine Tondelier : Selbymay (CC BY 4.0), Wikimedia Commons.</w:t>
            </w:r>
          </w:p>
        </w:tc>
      </w:tr>
    </w:tbl>
    <w:p>
      <w:pPr>
        <w:spacing w:after="0" w:before="0"/>
      </w:pPr>
    </w:p>
    <w:sectPr w:rsidR="00FC693F" w:rsidRPr="0006063C" w:rsidSect="00034616">
      <w:headerReference w:type="default" r:id="rId36"/>
      <w:footerReference w:type="default" r:id="rId37"/>
      <w:pgSz w:w="12240" w:h="15840"/>
      <w:pgMar w:top="720" w:right="1440" w:bottom="720" w:left="1440" w:header="317" w:footer="31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VOLT  ·  30 JUILLET 2026   |   </w:t>
    </w:r>
    <w:r>
      <w:rPr>
        <w:rFonts w:ascii="Arial" w:hAnsi="Arial"/>
        <w:color w:val="666666"/>
        <w:sz w:val="15"/>
      </w:rPr>
      <w:fldChar w:fldCharType="begin"/>
      <w:instrText xml:space="preserve"> PAGE </w:instrText>
      <w:fldChar w:fldCharType="separate"/>
      <w:t>1</w:t>
      <w:fldChar w:fldCharType="end"/>
    </w:r>
  </w:p>
</w:ftr>
</file>

<file path=word/footer10.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VOLT  ·  30 JUILLET 2026   |   </w:t>
    </w:r>
    <w:r>
      <w:rPr>
        <w:rFonts w:ascii="Arial" w:hAnsi="Arial"/>
        <w:color w:val="666666"/>
        <w:sz w:val="15"/>
      </w:rPr>
      <w:fldChar w:fldCharType="begin"/>
      <w:instrText xml:space="preserve"> PAGE </w:instrText>
      <w:fldChar w:fldCharType="separate"/>
      <w:t>1</w:t>
      <w:fldChar w:fldCharType="end"/>
    </w:r>
  </w:p>
</w:ftr>
</file>

<file path=word/footer1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VOLT  ·  30 JUILLET 2026   |   </w:t>
    </w:r>
    <w:r>
      <w:rPr>
        <w:rFonts w:ascii="Arial" w:hAnsi="Arial"/>
        <w:color w:val="666666"/>
        <w:sz w:val="15"/>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VOLT  ·  30 JUILLET 2026   |   </w:t>
    </w:r>
    <w:r>
      <w:rPr>
        <w:rFonts w:ascii="Arial" w:hAnsi="Arial"/>
        <w:color w:val="666666"/>
        <w:sz w:val="15"/>
      </w:rPr>
      <w:fldChar w:fldCharType="begin"/>
      <w:instrText xml:space="preserve"> PAGE </w:instrText>
      <w:fldChar w:fldCharType="separate"/>
      <w:t>1</w:t>
      <w:fldChar w:fldCharType="end"/>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VOLT  ·  30 JUILLET 2026   |   </w:t>
    </w:r>
    <w:r>
      <w:rPr>
        <w:rFonts w:ascii="Arial" w:hAnsi="Arial"/>
        <w:color w:val="666666"/>
        <w:sz w:val="15"/>
      </w:rPr>
      <w:fldChar w:fldCharType="begin"/>
      <w:instrText xml:space="preserve"> PAGE </w:instrText>
      <w:fldChar w:fldCharType="separate"/>
      <w:t>1</w:t>
      <w:fldChar w:fldCharType="end"/>
    </w:r>
  </w:p>
</w:ftr>
</file>

<file path=word/footer4.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VOLT  ·  30 JUILLET 2026   |   </w:t>
    </w:r>
    <w:r>
      <w:rPr>
        <w:rFonts w:ascii="Arial" w:hAnsi="Arial"/>
        <w:color w:val="666666"/>
        <w:sz w:val="15"/>
      </w:rPr>
      <w:fldChar w:fldCharType="begin"/>
      <w:instrText xml:space="preserve"> PAGE </w:instrText>
      <w:fldChar w:fldCharType="separate"/>
      <w:t>1</w:t>
      <w:fldChar w:fldCharType="end"/>
    </w:r>
  </w:p>
</w:ftr>
</file>

<file path=word/footer5.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VOLT  ·  30 JUILLET 2026   |   </w:t>
    </w:r>
    <w:r>
      <w:rPr>
        <w:rFonts w:ascii="Arial" w:hAnsi="Arial"/>
        <w:color w:val="666666"/>
        <w:sz w:val="15"/>
      </w:rPr>
      <w:fldChar w:fldCharType="begin"/>
      <w:instrText xml:space="preserve"> PAGE </w:instrText>
      <w:fldChar w:fldCharType="separate"/>
      <w:t>1</w:t>
      <w:fldChar w:fldCharType="end"/>
    </w:r>
  </w:p>
</w:ftr>
</file>

<file path=word/footer6.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VOLT  ·  30 JUILLET 2026   |   </w:t>
    </w:r>
    <w:r>
      <w:rPr>
        <w:rFonts w:ascii="Arial" w:hAnsi="Arial"/>
        <w:color w:val="666666"/>
        <w:sz w:val="15"/>
      </w:rPr>
      <w:fldChar w:fldCharType="begin"/>
      <w:instrText xml:space="preserve"> PAGE </w:instrText>
      <w:fldChar w:fldCharType="separate"/>
      <w:t>1</w:t>
      <w:fldChar w:fldCharType="end"/>
    </w:r>
  </w:p>
</w:ftr>
</file>

<file path=word/footer7.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VOLT  ·  30 JUILLET 2026   |   </w:t>
    </w:r>
    <w:r>
      <w:rPr>
        <w:rFonts w:ascii="Arial" w:hAnsi="Arial"/>
        <w:color w:val="666666"/>
        <w:sz w:val="15"/>
      </w:rPr>
      <w:fldChar w:fldCharType="begin"/>
      <w:instrText xml:space="preserve"> PAGE </w:instrText>
      <w:fldChar w:fldCharType="separate"/>
      <w:t>1</w:t>
      <w:fldChar w:fldCharType="end"/>
    </w:r>
  </w:p>
</w:ftr>
</file>

<file path=word/footer8.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VOLT  ·  30 JUILLET 2026   |   </w:t>
    </w:r>
    <w:r>
      <w:rPr>
        <w:rFonts w:ascii="Arial" w:hAnsi="Arial"/>
        <w:color w:val="666666"/>
        <w:sz w:val="15"/>
      </w:rPr>
      <w:fldChar w:fldCharType="begin"/>
      <w:instrText xml:space="preserve"> PAGE </w:instrText>
      <w:fldChar w:fldCharType="separate"/>
      <w:t>1</w:t>
      <w:fldChar w:fldCharType="end"/>
    </w:r>
  </w:p>
</w:ftr>
</file>

<file path=word/footer9.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VOLT  ·  30 JUILLET 2026   |   </w:t>
    </w:r>
    <w:r>
      <w:rPr>
        <w:rFonts w:ascii="Arial" w:hAnsi="Arial"/>
        <w:color w:val="666666"/>
        <w:sz w:val="15"/>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header10.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header1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header4.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header5.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header6.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header7.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header8.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header9.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2" w:lineRule="auto"/>
    </w:pPr>
    <w:rPr>
      <w:rFonts w:ascii="Arial" w:hAnsi="Arial"/>
      <w:color w:val="171918"/>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ascii="Arial" w:hAnsi="Arial"/>
      <w:b/>
      <w:bCs/>
      <w:color w:val="171918"/>
      <w:sz w:val="32"/>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b/>
      <w:bCs/>
      <w:color w:val="502379"/>
      <w:sz w:val="25"/>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b/>
      <w:bCs/>
      <w:color w:val="171918"/>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20" w:line="240" w:lineRule="auto" w:before="0"/>
      <w:contextualSpacing/>
    </w:pPr>
    <w:rPr>
      <w:rFonts w:asciiTheme="majorHAnsi" w:eastAsiaTheme="majorEastAsia" w:hAnsiTheme="majorHAnsi" w:cstheme="majorBidi" w:ascii="Arial" w:hAnsi="Arial"/>
      <w:b/>
      <w:color w:val="171918"/>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after="80"/>
    </w:pPr>
    <w:rPr>
      <w:rFonts w:ascii="Arial" w:hAnsi="Arial"/>
      <w:b w:val="0"/>
      <w:bCs/>
      <w:i w:val="0"/>
      <w:color w:val="6C6A66"/>
      <w:sz w:val="17"/>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header" Target="header2.xml"/><Relationship Id="rId15" Type="http://schemas.openxmlformats.org/officeDocument/2006/relationships/footer" Target="footer2.xml"/><Relationship Id="rId16" Type="http://schemas.openxmlformats.org/officeDocument/2006/relationships/header" Target="header3.xml"/><Relationship Id="rId17" Type="http://schemas.openxmlformats.org/officeDocument/2006/relationships/footer" Target="footer3.xml"/><Relationship Id="rId18" Type="http://schemas.openxmlformats.org/officeDocument/2006/relationships/image" Target="media/image4.png"/><Relationship Id="rId19" Type="http://schemas.openxmlformats.org/officeDocument/2006/relationships/header" Target="header4.xml"/><Relationship Id="rId20" Type="http://schemas.openxmlformats.org/officeDocument/2006/relationships/footer" Target="footer4.xml"/><Relationship Id="rId21" Type="http://schemas.openxmlformats.org/officeDocument/2006/relationships/header" Target="header5.xml"/><Relationship Id="rId22" Type="http://schemas.openxmlformats.org/officeDocument/2006/relationships/footer" Target="footer5.xml"/><Relationship Id="rId23" Type="http://schemas.openxmlformats.org/officeDocument/2006/relationships/image" Target="media/image5.png"/><Relationship Id="rId24" Type="http://schemas.openxmlformats.org/officeDocument/2006/relationships/header" Target="header6.xml"/><Relationship Id="rId25" Type="http://schemas.openxmlformats.org/officeDocument/2006/relationships/footer" Target="footer6.xml"/><Relationship Id="rId26" Type="http://schemas.openxmlformats.org/officeDocument/2006/relationships/header" Target="header7.xml"/><Relationship Id="rId27" Type="http://schemas.openxmlformats.org/officeDocument/2006/relationships/footer" Target="footer7.xml"/><Relationship Id="rId28" Type="http://schemas.openxmlformats.org/officeDocument/2006/relationships/image" Target="media/image6.png"/><Relationship Id="rId29" Type="http://schemas.openxmlformats.org/officeDocument/2006/relationships/header" Target="header8.xml"/><Relationship Id="rId30" Type="http://schemas.openxmlformats.org/officeDocument/2006/relationships/footer" Target="footer8.xml"/><Relationship Id="rId31" Type="http://schemas.openxmlformats.org/officeDocument/2006/relationships/header" Target="header9.xml"/><Relationship Id="rId32" Type="http://schemas.openxmlformats.org/officeDocument/2006/relationships/footer" Target="footer9.xml"/><Relationship Id="rId33" Type="http://schemas.openxmlformats.org/officeDocument/2006/relationships/image" Target="media/image7.png"/><Relationship Id="rId34" Type="http://schemas.openxmlformats.org/officeDocument/2006/relationships/header" Target="header10.xml"/><Relationship Id="rId35" Type="http://schemas.openxmlformats.org/officeDocument/2006/relationships/footer" Target="footer10.xml"/><Relationship Id="rId36" Type="http://schemas.openxmlformats.org/officeDocument/2006/relationships/header" Target="header11.xml"/><Relationship Id="rId37" Type="http://schemas.openxmlformats.org/officeDocument/2006/relationships/footer" Target="footer11.xml"/><Relationship Id="rId38" Type="http://schemas.openxmlformats.org/officeDocument/2006/relationships/hyperlink" Target="https://voltfrance.org/storage/pdf/pdfs_moonshot/moonshot--fr.pdf" TargetMode="External"/><Relationship Id="rId39" Type="http://schemas.openxmlformats.org/officeDocument/2006/relationships/hyperlink" Target="https://voltfrance.org/politiques/programme-electoral-pour-les-elections-europeennes" TargetMode="External"/><Relationship Id="rId40" Type="http://schemas.openxmlformats.org/officeDocument/2006/relationships/hyperlink" Target="https://volteuropa.org/policies/all-policies" TargetMode="External"/><Relationship Id="rId41" Type="http://schemas.openxmlformats.org/officeDocument/2006/relationships/hyperlink" Target="https://lesecologistes.fr/document/5ZhR2m5t2ZaGKqIdD1bJaD/vdef-programme-1.pdf" TargetMode="External"/><Relationship Id="rId42" Type="http://schemas.openxmlformats.org/officeDocument/2006/relationships/hyperlink" Target="https://place-publique.eu/document/3Ari5O0s5O1L4iK1uyUhI0/pp-acte-un.pdf" TargetMode="External"/><Relationship Id="rId43" Type="http://schemas.openxmlformats.org/officeDocument/2006/relationships/hyperlink" Target="https://francoisruffin.fr/" TargetMode="External"/><Relationship Id="rId44" Type="http://schemas.openxmlformats.org/officeDocument/2006/relationships/hyperlink" Target="https://legrandcontinent.eu/fr/2026/02/25/pour-une-declaration-dindependance-la-doctrine-ruffin-sur-leurope/" TargetMode="External"/><Relationship Id="rId45" Type="http://schemas.openxmlformats.org/officeDocument/2006/relationships/hyperlink" Target="https://lafranceinsoumise.fr/wp-content/uploads/2024/05/PROGRAMME-UNION-POPULAIRE_EURO-2024.pdf" TargetMode="External"/><Relationship Id="rId46" Type="http://schemas.openxmlformats.org/officeDocument/2006/relationships/hyperlink" Target="https://oise.pcf.fr/sites/default/files/e2024-gumt-programme.pdf" TargetMode="External"/><Relationship Id="rId47" Type="http://schemas.openxmlformats.org/officeDocument/2006/relationships/hyperlink" Target="https://attalpresident.fr/programme/" TargetMode="External"/><Relationship Id="rId48" Type="http://schemas.openxmlformats.org/officeDocument/2006/relationships/hyperlink" Target="https://horizonsleparti.fr/" TargetMode="External"/><Relationship Id="rId49" Type="http://schemas.openxmlformats.org/officeDocument/2006/relationships/hyperlink" Target="https://rassemblementnational.fr/documents/202406-programme.pdf" TargetMode="External"/><Relationship Id="rId50" Type="http://schemas.openxmlformats.org/officeDocument/2006/relationships/hyperlink" Target="https://republicains.fr/actualites/" TargetMode="External"/><Relationship Id="rId51" Type="http://schemas.openxmlformats.org/officeDocument/2006/relationships/hyperlink" Target="https://www.cnccep.fr/pdfs/Candidat-12-Eric-Zemmour-Declara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Compatibilité programmatique — présidentielle 2027 — référentiel Volt</dc:title>
  <dc:subject>Comparatif indépendant de dix candidatures sur dix axes notés directement sur dix</dc:subject>
  <dc:creator>Document de travail indépendant</dc:creator>
  <cp:keywords/>
  <dc:description>Version harmonisée du 30 juillet 2026</dc:description>
  <cp:lastModifiedBy/>
  <cp:revision>2</cp:revision>
  <dcterms:created xsi:type="dcterms:W3CDTF">2013-12-23T23:15:00Z</dcterms:created>
  <dcterms:modified xsi:type="dcterms:W3CDTF">2013-12-23T23:15:00Z</dcterms:modified>
  <cp:category/>
</cp:coreProperties>
</file>