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40"/>
      </w:pPr>
    </w:p>
    <w:p>
      <w:pPr>
        <w:spacing w:after="320"/>
        <w:jc w:val="center"/>
      </w:pPr>
      <w:r>
        <w:rPr>
          <w:rFonts w:ascii="Calibri" w:hAnsi="Calibri"/>
          <w:b/>
          <w:color w:val="6D39CB"/>
          <w:sz w:val="20"/>
        </w:rPr>
        <w:t>COMPATIBILITÉ PROGRAMMATIQUE — PRÉSIDENTIELLE 2027</w:t>
      </w:r>
    </w:p>
    <w:p>
      <w:pPr>
        <w:keepNext/>
        <w:spacing w:after="160"/>
        <w:jc w:val="center"/>
      </w:pPr>
      <w:r>
        <w:rPr>
          <w:rFonts w:ascii="Calibri" w:hAnsi="Calibri"/>
          <w:b/>
          <w:color w:val="171717"/>
          <w:sz w:val="56"/>
        </w:rPr>
        <w:t>Parti radical de gauche</w:t>
      </w:r>
    </w:p>
    <w:p>
      <w:pPr>
        <w:spacing w:after="200"/>
        <w:jc w:val="center"/>
      </w:pPr>
      <w:r>
        <w:rPr>
          <w:rFonts w:ascii="Calibri" w:hAnsi="Calibri"/>
          <w:color w:val="66616F"/>
          <w:sz w:val="28"/>
        </w:rPr>
        <w:t>Dix candidatures évaluées selon dix axes équipondérés</w:t>
      </w:r>
    </w:p>
    <w:p>
      <w:pPr>
        <w:spacing w:after="680"/>
        <w:jc w:val="center"/>
      </w:pPr>
      <w:r>
        <w:rPr>
          <w:rFonts w:ascii="Calibri" w:hAnsi="Calibri"/>
          <w:b/>
          <w:color w:val="6D39CB"/>
          <w:sz w:val="20"/>
        </w:rPr>
        <w:t>Version du 7 août 2026</w:t>
      </w:r>
    </w:p>
    <w:tbl>
      <w:tblPr>
        <w:tblStyle w:val="TableGrid"/>
        <w:tblW w:type="dxa" w:w="9360"/>
        <w:jc w:val="left"/>
        <w:tblLayout w:type="fixed"/>
        <w:tblLook w:firstColumn="1" w:firstRow="1" w:lastColumn="0" w:lastRow="0" w:noHBand="0" w:noVBand="1" w:val="04A0"/>
        <w:tblInd w:type="dxa" w:w="180"/>
      </w:tblPr>
      <w:tblGrid>
        <w:gridCol w:w="9360"/>
      </w:tblGrid>
      <w:tr>
        <w:trPr/>
        <w:tc>
          <w:tcPr>
            <w:tcW w:type="dxa" w:w="9360"/>
            <w:shd w:fill="F2EEF9"/>
            <w:vAlign w:val="center"/>
            <w:tcMar>
              <w:top w:w="160" w:type="dxa"/>
              <w:bottom w:w="160" w:type="dxa"/>
              <w:start w:w="180" w:type="dxa"/>
              <w:end w:w="180" w:type="dxa"/>
            </w:tcMar>
          </w:tcPr>
          <w:p>
            <w:pPr>
              <w:spacing w:after="0" w:line="288" w:lineRule="auto"/>
            </w:pPr>
            <w:r>
              <w:rPr>
                <w:rFonts w:ascii="Calibri" w:hAnsi="Calibri"/>
                <w:b/>
                <w:color w:val="171717"/>
                <w:sz w:val="21"/>
              </w:rPr>
              <w:t>Référentiel : projet national du PRG en 42 propositions (2022). Ce document officiel n’est pas un programme présidentiel 2027 ; ses silences ne valent pas désaccord.</w:t>
            </w:r>
          </w:p>
        </w:tc>
      </w:tr>
    </w:tbl>
    <w:p>
      <w:r>
        <w:br w:type="page"/>
      </w:r>
    </w:p>
    <w:p>
      <w:pPr>
        <w:pStyle w:val="Heading1"/>
      </w:pPr>
      <w:r>
        <w:t>Objet et périmètre</w:t>
      </w:r>
    </w:p>
    <w:p>
      <w:r>
        <w:t>Cette notice confronte dix candidatures envisagées pour l’élection présidentielle de 2027 au projet national du Parti radical de gauche. Elle mesure une proximité programmatique avec ce seul corpus et ne constitue ni une consigne de vote, ni une évaluation générale des candidatures.</w:t>
      </w:r>
    </w:p>
    <w:p>
      <w:pPr>
        <w:keepLines/>
      </w:pPr>
      <w:r>
        <w:rPr>
          <w:rFonts w:ascii="Calibri" w:hAnsi="Calibri"/>
          <w:b/>
          <w:color w:val="171717"/>
        </w:rPr>
        <w:t xml:space="preserve">Corpus principal : </w:t>
      </w:r>
      <w:r>
        <w:rPr>
          <w:rFonts w:ascii="Calibri" w:hAnsi="Calibri"/>
          <w:color w:val="171717"/>
        </w:rPr>
        <w:t>Projet national du PRG — 42 propositions, publié en 2020 et diffusé dans un PDF daté du 9 mai 2022</w:t>
      </w:r>
    </w:p>
    <w:p>
      <w:pPr>
        <w:keepLines/>
      </w:pPr>
      <w:r>
        <w:rPr>
          <w:rFonts w:ascii="Calibri" w:hAnsi="Calibri"/>
          <w:b/>
          <w:color w:val="171717"/>
        </w:rPr>
        <w:t xml:space="preserve">Arrêt du corpus : </w:t>
      </w:r>
      <w:r>
        <w:rPr>
          <w:rFonts w:ascii="Calibri" w:hAnsi="Calibri"/>
          <w:color w:val="171717"/>
        </w:rPr>
        <w:t>7 août 2026</w:t>
      </w:r>
    </w:p>
    <w:p>
      <w:pPr>
        <w:keepLines/>
      </w:pPr>
      <w:r>
        <w:rPr>
          <w:rFonts w:ascii="Calibri" w:hAnsi="Calibri"/>
          <w:b/>
          <w:color w:val="171717"/>
        </w:rPr>
        <w:t xml:space="preserve">Périmètre : </w:t>
      </w:r>
      <w:r>
        <w:rPr>
          <w:rFonts w:ascii="Calibri" w:hAnsi="Calibri"/>
          <w:color w:val="171717"/>
        </w:rPr>
        <w:t>10 axes, 10 candidatures, 100 notes argumentées</w:t>
      </w:r>
    </w:p>
    <w:tbl>
      <w:tblPr>
        <w:tblStyle w:val="TableGrid"/>
        <w:tblW w:type="dxa" w:w="9360"/>
        <w:jc w:val="left"/>
        <w:tblLayout w:type="fixed"/>
        <w:tblLook w:firstColumn="1" w:firstRow="1" w:lastColumn="0" w:lastRow="0" w:noHBand="0" w:noVBand="1" w:val="04A0"/>
        <w:tblInd w:type="dxa" w:w="160"/>
      </w:tblPr>
      <w:tblGrid>
        <w:gridCol w:w="9360"/>
      </w:tblGrid>
      <w:tr>
        <w:trPr/>
        <w:tc>
          <w:tcPr>
            <w:tcW w:type="dxa" w:w="9360"/>
            <w:shd w:fill="F2EEF9"/>
            <w:tcMar>
              <w:top w:w="130" w:type="dxa"/>
              <w:bottom w:w="130" w:type="dxa"/>
              <w:start w:w="160" w:type="dxa"/>
              <w:end w:w="160" w:type="dxa"/>
            </w:tcMar>
          </w:tcPr>
          <w:p>
            <w:pPr>
              <w:spacing w:after="0"/>
            </w:pPr>
            <w:r>
              <w:rPr>
                <w:rFonts w:ascii="Calibri" w:hAnsi="Calibri"/>
                <w:b/>
                <w:color w:val="6D39CB"/>
                <w:sz w:val="21"/>
              </w:rPr>
              <w:t>Un écart de 1 ou 2 points ne permet pas de conclure à une différence décisive. La solidité documentaire est indiquée séparément du score.</w:t>
            </w:r>
          </w:p>
        </w:tc>
      </w:tr>
    </w:tbl>
    <w:p>
      <w:pPr>
        <w:pStyle w:val="Heading1"/>
      </w:pPr>
      <w:r>
        <w:t>Méthode</w:t>
      </w:r>
    </w:p>
    <w:p>
      <w:pPr>
        <w:keepLines/>
      </w:pPr>
      <w:r>
        <w:rPr>
          <w:rFonts w:ascii="Calibri" w:hAnsi="Calibri"/>
          <w:b/>
          <w:color w:val="171717"/>
        </w:rPr>
        <w:t xml:space="preserve">Notation : </w:t>
      </w:r>
      <w:r>
        <w:rPr>
          <w:rFonts w:ascii="Calibri" w:hAnsi="Calibri"/>
          <w:color w:val="171717"/>
        </w:rPr>
        <w:t>Chaque axe reçoit une note entière de 0 à 10 : 0 correspond à une opposition complète, 5 à un bilan réellement mixte et 10 à une compatibilité complète.</w:t>
      </w:r>
    </w:p>
    <w:p>
      <w:pPr>
        <w:keepLines/>
      </w:pPr>
      <w:r>
        <w:rPr>
          <w:rFonts w:ascii="Calibri" w:hAnsi="Calibri"/>
          <w:b/>
          <w:color w:val="171717"/>
        </w:rPr>
        <w:t xml:space="preserve">Calcul : </w:t>
      </w:r>
      <w:r>
        <w:rPr>
          <w:rFonts w:ascii="Calibri" w:hAnsi="Calibri"/>
          <w:color w:val="171717"/>
        </w:rPr>
        <w:t>Les dix axes ont le même poids. Leur somme produit un total autonome sur 100, sans pondération cachée.</w:t>
      </w:r>
    </w:p>
    <w:p>
      <w:pPr>
        <w:keepLines/>
      </w:pPr>
      <w:r>
        <w:rPr>
          <w:rFonts w:ascii="Calibri" w:hAnsi="Calibri"/>
          <w:b/>
          <w:color w:val="171717"/>
        </w:rPr>
        <w:t xml:space="preserve">Documentation : </w:t>
      </w:r>
      <w:r>
        <w:rPr>
          <w:rFonts w:ascii="Calibri" w:hAnsi="Calibri"/>
          <w:color w:val="171717"/>
        </w:rPr>
        <w:t>Programmes, propositions, votes, déclarations et documents de parti sont mobilisés. Les zones incomplètes limitent la certitude sans être assimilées automatiquement à une opposition.</w:t>
      </w:r>
    </w:p>
    <w:p>
      <w:pPr>
        <w:keepLines/>
      </w:pPr>
      <w:r>
        <w:rPr>
          <w:rFonts w:ascii="Calibri" w:hAnsi="Calibri"/>
          <w:b/>
          <w:color w:val="171717"/>
        </w:rPr>
        <w:t xml:space="preserve">Portée : </w:t>
      </w:r>
      <w:r>
        <w:rPr>
          <w:rFonts w:ascii="Calibri" w:hAnsi="Calibri"/>
          <w:color w:val="171717"/>
        </w:rPr>
        <w:t>Le score n’évalue ni la crédibilité, ni la compétence, ni l’intégrité, ni la faisabilité budgétaire.</w:t>
      </w:r>
    </w:p>
    <w:p>
      <w:pPr>
        <w:keepLines/>
      </w:pPr>
      <w:r>
        <w:rPr>
          <w:rFonts w:ascii="Calibri" w:hAnsi="Calibri"/>
          <w:b/>
          <w:color w:val="171717"/>
        </w:rPr>
        <w:t xml:space="preserve">Comparaison : </w:t>
      </w:r>
      <w:r>
        <w:rPr>
          <w:rFonts w:ascii="Calibri" w:hAnsi="Calibri"/>
          <w:color w:val="171717"/>
        </w:rPr>
        <w:t>Ce score ne doit pas être additionné ou moyenné avec ceux des autres référentiels du site.</w:t>
      </w:r>
    </w:p>
    <w:p>
      <w:pPr>
        <w:pStyle w:val="Heading1"/>
      </w:pPr>
      <w:r>
        <w:t>Classement</w:t>
      </w:r>
    </w:p>
    <w:tbl>
      <w:tblPr>
        <w:tblStyle w:val="TableGrid"/>
        <w:tblW w:type="dxa" w:w="9360"/>
        <w:jc w:val="left"/>
        <w:tblLayout w:type="fixed"/>
        <w:tblLook w:firstColumn="1" w:firstRow="1" w:lastColumn="0" w:lastRow="0" w:noHBand="0" w:noVBand="1" w:val="04A0"/>
        <w:tblInd w:type="dxa" w:w="120"/>
      </w:tblPr>
      <w:tblGrid>
        <w:gridCol w:w="720"/>
        <w:gridCol w:w="3888"/>
        <w:gridCol w:w="1296"/>
        <w:gridCol w:w="3456"/>
      </w:tblGrid>
      <w:tr>
        <w:trPr>
          <w:tblHeader w:val="true"/>
          <w:cantSplit/>
        </w:trPr>
        <w:tc>
          <w:tcPr>
            <w:tcW w:type="dxa" w:w="720"/>
            <w:vAlign w:val="center"/>
            <w:shd w:fill="6D39CB"/>
            <w:tcMar>
              <w:top w:w="80" w:type="dxa"/>
              <w:bottom w:w="80" w:type="dxa"/>
              <w:start w:w="120" w:type="dxa"/>
              <w:end w:w="120" w:type="dxa"/>
            </w:tcMar>
          </w:tcPr>
          <w:p>
            <w:pPr>
              <w:spacing w:before="0" w:after="0" w:line="269" w:lineRule="auto"/>
            </w:pPr>
            <w:r>
              <w:rPr>
                <w:rFonts w:ascii="Calibri" w:hAnsi="Calibri"/>
                <w:b/>
                <w:color w:val="FFFFFF"/>
                <w:sz w:val="19"/>
              </w:rPr>
              <w:t>#</w:t>
            </w:r>
          </w:p>
        </w:tc>
        <w:tc>
          <w:tcPr>
            <w:tcW w:type="dxa" w:w="3888"/>
            <w:vAlign w:val="center"/>
            <w:shd w:fill="6D39CB"/>
            <w:tcMar>
              <w:top w:w="80" w:type="dxa"/>
              <w:bottom w:w="80" w:type="dxa"/>
              <w:start w:w="120" w:type="dxa"/>
              <w:end w:w="120" w:type="dxa"/>
            </w:tcMar>
          </w:tcPr>
          <w:p>
            <w:pPr>
              <w:spacing w:before="0" w:after="0" w:line="269" w:lineRule="auto"/>
            </w:pPr>
            <w:r>
              <w:rPr>
                <w:rFonts w:ascii="Calibri" w:hAnsi="Calibri"/>
                <w:b/>
                <w:color w:val="FFFFFF"/>
                <w:sz w:val="19"/>
              </w:rPr>
              <w:t>Candidature</w:t>
            </w:r>
          </w:p>
        </w:tc>
        <w:tc>
          <w:tcPr>
            <w:tcW w:type="dxa" w:w="1296"/>
            <w:vAlign w:val="center"/>
            <w:shd w:fill="6D39CB"/>
            <w:tcMar>
              <w:top w:w="80" w:type="dxa"/>
              <w:bottom w:w="80" w:type="dxa"/>
              <w:start w:w="120" w:type="dxa"/>
              <w:end w:w="120" w:type="dxa"/>
            </w:tcMar>
          </w:tcPr>
          <w:p>
            <w:pPr>
              <w:spacing w:before="0" w:after="0" w:line="269" w:lineRule="auto"/>
            </w:pPr>
            <w:r>
              <w:rPr>
                <w:rFonts w:ascii="Calibri" w:hAnsi="Calibri"/>
                <w:b/>
                <w:color w:val="FFFFFF"/>
                <w:sz w:val="19"/>
              </w:rPr>
              <w:t>Score</w:t>
            </w:r>
          </w:p>
        </w:tc>
        <w:tc>
          <w:tcPr>
            <w:tcW w:type="dxa" w:w="3456"/>
            <w:vAlign w:val="center"/>
            <w:shd w:fill="6D39CB"/>
            <w:tcMar>
              <w:top w:w="80" w:type="dxa"/>
              <w:bottom w:w="80" w:type="dxa"/>
              <w:start w:w="120" w:type="dxa"/>
              <w:end w:w="120" w:type="dxa"/>
            </w:tcMar>
          </w:tcPr>
          <w:p>
            <w:pPr>
              <w:spacing w:before="0" w:after="0" w:line="269" w:lineRule="auto"/>
            </w:pPr>
            <w:r>
              <w:rPr>
                <w:rFonts w:ascii="Calibri" w:hAnsi="Calibri"/>
                <w:b/>
                <w:color w:val="FFFFFF"/>
                <w:sz w:val="19"/>
              </w:rPr>
              <w:t>Solidité documentaire</w:t>
            </w:r>
          </w:p>
        </w:tc>
      </w:tr>
      <w:tr>
        <w:trPr>
          <w:cantSplit/>
        </w:trPr>
        <w:tc>
          <w:tcPr>
            <w:tcW w:type="dxa" w:w="720"/>
            <w:vAlign w:val="center"/>
            <w:tcMar>
              <w:top w:w="80" w:type="dxa"/>
              <w:bottom w:w="80" w:type="dxa"/>
              <w:start w:w="120" w:type="dxa"/>
              <w:end w:w="120" w:type="dxa"/>
            </w:tcMar>
          </w:tcPr>
          <w:p>
            <w:pPr>
              <w:spacing w:before="0" w:after="0" w:line="269" w:lineRule="auto"/>
            </w:pPr>
            <w:r>
              <w:rPr>
                <w:rFonts w:ascii="Calibri" w:hAnsi="Calibri"/>
                <w:color w:val="171717"/>
                <w:sz w:val="19"/>
              </w:rPr>
              <w:t>1</w:t>
            </w:r>
          </w:p>
        </w:tc>
        <w:tc>
          <w:tcPr>
            <w:tcW w:type="dxa" w:w="3888"/>
            <w:vAlign w:val="center"/>
            <w:tcMar>
              <w:top w:w="80" w:type="dxa"/>
              <w:bottom w:w="80" w:type="dxa"/>
              <w:start w:w="120" w:type="dxa"/>
              <w:end w:w="120" w:type="dxa"/>
            </w:tcMar>
          </w:tcPr>
          <w:p>
            <w:pPr>
              <w:spacing w:before="0" w:after="0" w:line="269" w:lineRule="auto"/>
            </w:pPr>
            <w:r>
              <w:rPr>
                <w:rFonts w:ascii="Calibri" w:hAnsi="Calibri"/>
                <w:color w:val="171717"/>
                <w:sz w:val="19"/>
              </w:rPr>
              <w:t>Marine Tondelier</w:t>
            </w:r>
          </w:p>
        </w:tc>
        <w:tc>
          <w:tcPr>
            <w:tcW w:type="dxa" w:w="1296"/>
            <w:vAlign w:val="center"/>
            <w:tcMar>
              <w:top w:w="80" w:type="dxa"/>
              <w:bottom w:w="80" w:type="dxa"/>
              <w:start w:w="120" w:type="dxa"/>
              <w:end w:w="120" w:type="dxa"/>
            </w:tcMar>
          </w:tcPr>
          <w:p>
            <w:pPr>
              <w:spacing w:before="0" w:after="0" w:line="269" w:lineRule="auto"/>
            </w:pPr>
            <w:r>
              <w:rPr>
                <w:rFonts w:ascii="Calibri" w:hAnsi="Calibri"/>
                <w:color w:val="171717"/>
                <w:sz w:val="19"/>
              </w:rPr>
              <w:t>89/100</w:t>
            </w:r>
          </w:p>
        </w:tc>
        <w:tc>
          <w:tcPr>
            <w:tcW w:type="dxa" w:w="3456"/>
            <w:vAlign w:val="center"/>
            <w:tcMar>
              <w:top w:w="80" w:type="dxa"/>
              <w:bottom w:w="80" w:type="dxa"/>
              <w:start w:w="120" w:type="dxa"/>
              <w:end w:w="120" w:type="dxa"/>
            </w:tcMar>
          </w:tcPr>
          <w:p>
            <w:pPr>
              <w:spacing w:before="0" w:after="0" w:line="269" w:lineRule="auto"/>
            </w:pPr>
            <w:r>
              <w:rPr>
                <w:rFonts w:ascii="Calibri" w:hAnsi="Calibri"/>
                <w:color w:val="171717"/>
                <w:sz w:val="19"/>
              </w:rPr>
              <w:t>Élevée</w:t>
            </w:r>
          </w:p>
        </w:tc>
      </w:tr>
      <w:tr>
        <w:trPr>
          <w:cantSplit/>
        </w:trPr>
        <w:tc>
          <w:tcPr>
            <w:tcW w:type="dxa" w:w="720"/>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2</w:t>
            </w:r>
          </w:p>
        </w:tc>
        <w:tc>
          <w:tcPr>
            <w:tcW w:type="dxa" w:w="3888"/>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Jean-Luc Mélenchon</w:t>
            </w:r>
          </w:p>
        </w:tc>
        <w:tc>
          <w:tcPr>
            <w:tcW w:type="dxa" w:w="1296"/>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86/100</w:t>
            </w:r>
          </w:p>
        </w:tc>
        <w:tc>
          <w:tcPr>
            <w:tcW w:type="dxa" w:w="3456"/>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Élevée</w:t>
            </w:r>
          </w:p>
        </w:tc>
      </w:tr>
      <w:tr>
        <w:trPr>
          <w:cantSplit/>
        </w:trPr>
        <w:tc>
          <w:tcPr>
            <w:tcW w:type="dxa" w:w="720"/>
            <w:vAlign w:val="center"/>
            <w:tcMar>
              <w:top w:w="80" w:type="dxa"/>
              <w:bottom w:w="80" w:type="dxa"/>
              <w:start w:w="120" w:type="dxa"/>
              <w:end w:w="120" w:type="dxa"/>
            </w:tcMar>
          </w:tcPr>
          <w:p>
            <w:pPr>
              <w:spacing w:before="0" w:after="0" w:line="269" w:lineRule="auto"/>
            </w:pPr>
            <w:r>
              <w:rPr>
                <w:rFonts w:ascii="Calibri" w:hAnsi="Calibri"/>
                <w:color w:val="171717"/>
                <w:sz w:val="19"/>
              </w:rPr>
              <w:t>3</w:t>
            </w:r>
          </w:p>
        </w:tc>
        <w:tc>
          <w:tcPr>
            <w:tcW w:type="dxa" w:w="3888"/>
            <w:vAlign w:val="center"/>
            <w:tcMar>
              <w:top w:w="80" w:type="dxa"/>
              <w:bottom w:w="80" w:type="dxa"/>
              <w:start w:w="120" w:type="dxa"/>
              <w:end w:w="120" w:type="dxa"/>
            </w:tcMar>
          </w:tcPr>
          <w:p>
            <w:pPr>
              <w:spacing w:before="0" w:after="0" w:line="269" w:lineRule="auto"/>
            </w:pPr>
            <w:r>
              <w:rPr>
                <w:rFonts w:ascii="Calibri" w:hAnsi="Calibri"/>
                <w:color w:val="171717"/>
                <w:sz w:val="19"/>
              </w:rPr>
              <w:t>François Ruffin</w:t>
            </w:r>
          </w:p>
        </w:tc>
        <w:tc>
          <w:tcPr>
            <w:tcW w:type="dxa" w:w="1296"/>
            <w:vAlign w:val="center"/>
            <w:tcMar>
              <w:top w:w="80" w:type="dxa"/>
              <w:bottom w:w="80" w:type="dxa"/>
              <w:start w:w="120" w:type="dxa"/>
              <w:end w:w="120" w:type="dxa"/>
            </w:tcMar>
          </w:tcPr>
          <w:p>
            <w:pPr>
              <w:spacing w:before="0" w:after="0" w:line="269" w:lineRule="auto"/>
            </w:pPr>
            <w:r>
              <w:rPr>
                <w:rFonts w:ascii="Calibri" w:hAnsi="Calibri"/>
                <w:color w:val="171717"/>
                <w:sz w:val="19"/>
              </w:rPr>
              <w:t>84/100</w:t>
            </w:r>
          </w:p>
        </w:tc>
        <w:tc>
          <w:tcPr>
            <w:tcW w:type="dxa" w:w="3456"/>
            <w:vAlign w:val="center"/>
            <w:tcMar>
              <w:top w:w="80" w:type="dxa"/>
              <w:bottom w:w="80" w:type="dxa"/>
              <w:start w:w="120" w:type="dxa"/>
              <w:end w:w="120" w:type="dxa"/>
            </w:tcMar>
          </w:tcPr>
          <w:p>
            <w:pPr>
              <w:spacing w:before="0" w:after="0" w:line="269" w:lineRule="auto"/>
            </w:pPr>
            <w:r>
              <w:rPr>
                <w:rFonts w:ascii="Calibri" w:hAnsi="Calibri"/>
                <w:color w:val="171717"/>
                <w:sz w:val="19"/>
              </w:rPr>
              <w:t>Moyenne</w:t>
            </w:r>
          </w:p>
        </w:tc>
      </w:tr>
      <w:tr>
        <w:trPr>
          <w:cantSplit/>
        </w:trPr>
        <w:tc>
          <w:tcPr>
            <w:tcW w:type="dxa" w:w="720"/>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4</w:t>
            </w:r>
          </w:p>
        </w:tc>
        <w:tc>
          <w:tcPr>
            <w:tcW w:type="dxa" w:w="3888"/>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Raphaël Glucksmann</w:t>
            </w:r>
          </w:p>
        </w:tc>
        <w:tc>
          <w:tcPr>
            <w:tcW w:type="dxa" w:w="1296"/>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83/100</w:t>
            </w:r>
          </w:p>
        </w:tc>
        <w:tc>
          <w:tcPr>
            <w:tcW w:type="dxa" w:w="3456"/>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Élevée</w:t>
            </w:r>
          </w:p>
        </w:tc>
      </w:tr>
      <w:tr>
        <w:trPr>
          <w:cantSplit/>
        </w:trPr>
        <w:tc>
          <w:tcPr>
            <w:tcW w:type="dxa" w:w="720"/>
            <w:vAlign w:val="center"/>
            <w:tcMar>
              <w:top w:w="80" w:type="dxa"/>
              <w:bottom w:w="80" w:type="dxa"/>
              <w:start w:w="120" w:type="dxa"/>
              <w:end w:w="120" w:type="dxa"/>
            </w:tcMar>
          </w:tcPr>
          <w:p>
            <w:pPr>
              <w:spacing w:before="0" w:after="0" w:line="269" w:lineRule="auto"/>
            </w:pPr>
            <w:r>
              <w:rPr>
                <w:rFonts w:ascii="Calibri" w:hAnsi="Calibri"/>
                <w:color w:val="171717"/>
                <w:sz w:val="19"/>
              </w:rPr>
              <w:t>5</w:t>
            </w:r>
          </w:p>
        </w:tc>
        <w:tc>
          <w:tcPr>
            <w:tcW w:type="dxa" w:w="3888"/>
            <w:vAlign w:val="center"/>
            <w:tcMar>
              <w:top w:w="80" w:type="dxa"/>
              <w:bottom w:w="80" w:type="dxa"/>
              <w:start w:w="120" w:type="dxa"/>
              <w:end w:w="120" w:type="dxa"/>
            </w:tcMar>
          </w:tcPr>
          <w:p>
            <w:pPr>
              <w:spacing w:before="0" w:after="0" w:line="269" w:lineRule="auto"/>
            </w:pPr>
            <w:r>
              <w:rPr>
                <w:rFonts w:ascii="Calibri" w:hAnsi="Calibri"/>
                <w:color w:val="171717"/>
                <w:sz w:val="19"/>
              </w:rPr>
              <w:t>Fabien Roussel</w:t>
            </w:r>
          </w:p>
        </w:tc>
        <w:tc>
          <w:tcPr>
            <w:tcW w:type="dxa" w:w="1296"/>
            <w:vAlign w:val="center"/>
            <w:tcMar>
              <w:top w:w="80" w:type="dxa"/>
              <w:bottom w:w="80" w:type="dxa"/>
              <w:start w:w="120" w:type="dxa"/>
              <w:end w:w="120" w:type="dxa"/>
            </w:tcMar>
          </w:tcPr>
          <w:p>
            <w:pPr>
              <w:spacing w:before="0" w:after="0" w:line="269" w:lineRule="auto"/>
            </w:pPr>
            <w:r>
              <w:rPr>
                <w:rFonts w:ascii="Calibri" w:hAnsi="Calibri"/>
                <w:color w:val="171717"/>
                <w:sz w:val="19"/>
              </w:rPr>
              <w:t>81/100</w:t>
            </w:r>
          </w:p>
        </w:tc>
        <w:tc>
          <w:tcPr>
            <w:tcW w:type="dxa" w:w="3456"/>
            <w:vAlign w:val="center"/>
            <w:tcMar>
              <w:top w:w="80" w:type="dxa"/>
              <w:bottom w:w="80" w:type="dxa"/>
              <w:start w:w="120" w:type="dxa"/>
              <w:end w:w="120" w:type="dxa"/>
            </w:tcMar>
          </w:tcPr>
          <w:p>
            <w:pPr>
              <w:spacing w:before="0" w:after="0" w:line="269" w:lineRule="auto"/>
            </w:pPr>
            <w:r>
              <w:rPr>
                <w:rFonts w:ascii="Calibri" w:hAnsi="Calibri"/>
                <w:color w:val="171717"/>
                <w:sz w:val="19"/>
              </w:rPr>
              <w:t>Moyenne à élevée</w:t>
            </w:r>
          </w:p>
        </w:tc>
      </w:tr>
      <w:tr>
        <w:trPr>
          <w:cantSplit/>
        </w:trPr>
        <w:tc>
          <w:tcPr>
            <w:tcW w:type="dxa" w:w="720"/>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6</w:t>
            </w:r>
          </w:p>
        </w:tc>
        <w:tc>
          <w:tcPr>
            <w:tcW w:type="dxa" w:w="3888"/>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Gabriel Attal</w:t>
            </w:r>
          </w:p>
        </w:tc>
        <w:tc>
          <w:tcPr>
            <w:tcW w:type="dxa" w:w="1296"/>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55/100</w:t>
            </w:r>
          </w:p>
        </w:tc>
        <w:tc>
          <w:tcPr>
            <w:tcW w:type="dxa" w:w="3456"/>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Moyenne</w:t>
            </w:r>
          </w:p>
        </w:tc>
      </w:tr>
      <w:tr>
        <w:trPr>
          <w:cantSplit/>
        </w:trPr>
        <w:tc>
          <w:tcPr>
            <w:tcW w:type="dxa" w:w="720"/>
            <w:vAlign w:val="center"/>
            <w:tcMar>
              <w:top w:w="80" w:type="dxa"/>
              <w:bottom w:w="80" w:type="dxa"/>
              <w:start w:w="120" w:type="dxa"/>
              <w:end w:w="120" w:type="dxa"/>
            </w:tcMar>
          </w:tcPr>
          <w:p>
            <w:pPr>
              <w:spacing w:before="0" w:after="0" w:line="269" w:lineRule="auto"/>
            </w:pPr>
            <w:r>
              <w:rPr>
                <w:rFonts w:ascii="Calibri" w:hAnsi="Calibri"/>
                <w:color w:val="171717"/>
                <w:sz w:val="19"/>
              </w:rPr>
              <w:t>7</w:t>
            </w:r>
          </w:p>
        </w:tc>
        <w:tc>
          <w:tcPr>
            <w:tcW w:type="dxa" w:w="3888"/>
            <w:vAlign w:val="center"/>
            <w:tcMar>
              <w:top w:w="80" w:type="dxa"/>
              <w:bottom w:w="80" w:type="dxa"/>
              <w:start w:w="120" w:type="dxa"/>
              <w:end w:w="120" w:type="dxa"/>
            </w:tcMar>
          </w:tcPr>
          <w:p>
            <w:pPr>
              <w:spacing w:before="0" w:after="0" w:line="269" w:lineRule="auto"/>
            </w:pPr>
            <w:r>
              <w:rPr>
                <w:rFonts w:ascii="Calibri" w:hAnsi="Calibri"/>
                <w:color w:val="171717"/>
                <w:sz w:val="19"/>
              </w:rPr>
              <w:t>Édouard Philippe</w:t>
            </w:r>
          </w:p>
        </w:tc>
        <w:tc>
          <w:tcPr>
            <w:tcW w:type="dxa" w:w="1296"/>
            <w:vAlign w:val="center"/>
            <w:tcMar>
              <w:top w:w="80" w:type="dxa"/>
              <w:bottom w:w="80" w:type="dxa"/>
              <w:start w:w="120" w:type="dxa"/>
              <w:end w:w="120" w:type="dxa"/>
            </w:tcMar>
          </w:tcPr>
          <w:p>
            <w:pPr>
              <w:spacing w:before="0" w:after="0" w:line="269" w:lineRule="auto"/>
            </w:pPr>
            <w:r>
              <w:rPr>
                <w:rFonts w:ascii="Calibri" w:hAnsi="Calibri"/>
                <w:color w:val="171717"/>
                <w:sz w:val="19"/>
              </w:rPr>
              <w:t>54/100</w:t>
            </w:r>
          </w:p>
        </w:tc>
        <w:tc>
          <w:tcPr>
            <w:tcW w:type="dxa" w:w="3456"/>
            <w:vAlign w:val="center"/>
            <w:tcMar>
              <w:top w:w="80" w:type="dxa"/>
              <w:bottom w:w="80" w:type="dxa"/>
              <w:start w:w="120" w:type="dxa"/>
              <w:end w:w="120" w:type="dxa"/>
            </w:tcMar>
          </w:tcPr>
          <w:p>
            <w:pPr>
              <w:spacing w:before="0" w:after="0" w:line="269" w:lineRule="auto"/>
            </w:pPr>
            <w:r>
              <w:rPr>
                <w:rFonts w:ascii="Calibri" w:hAnsi="Calibri"/>
                <w:color w:val="171717"/>
                <w:sz w:val="19"/>
              </w:rPr>
              <w:t>Moyenne</w:t>
            </w:r>
          </w:p>
        </w:tc>
      </w:tr>
      <w:tr>
        <w:trPr>
          <w:cantSplit/>
        </w:trPr>
        <w:tc>
          <w:tcPr>
            <w:tcW w:type="dxa" w:w="720"/>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8</w:t>
            </w:r>
          </w:p>
        </w:tc>
        <w:tc>
          <w:tcPr>
            <w:tcW w:type="dxa" w:w="3888"/>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Marine Le Pen</w:t>
            </w:r>
          </w:p>
        </w:tc>
        <w:tc>
          <w:tcPr>
            <w:tcW w:type="dxa" w:w="1296"/>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46/100</w:t>
            </w:r>
          </w:p>
        </w:tc>
        <w:tc>
          <w:tcPr>
            <w:tcW w:type="dxa" w:w="3456"/>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Moyenne à élevée</w:t>
            </w:r>
          </w:p>
        </w:tc>
      </w:tr>
      <w:tr>
        <w:trPr>
          <w:cantSplit/>
        </w:trPr>
        <w:tc>
          <w:tcPr>
            <w:tcW w:type="dxa" w:w="720"/>
            <w:vAlign w:val="center"/>
            <w:tcMar>
              <w:top w:w="80" w:type="dxa"/>
              <w:bottom w:w="80" w:type="dxa"/>
              <w:start w:w="120" w:type="dxa"/>
              <w:end w:w="120" w:type="dxa"/>
            </w:tcMar>
          </w:tcPr>
          <w:p>
            <w:pPr>
              <w:spacing w:before="0" w:after="0" w:line="269" w:lineRule="auto"/>
            </w:pPr>
            <w:r>
              <w:rPr>
                <w:rFonts w:ascii="Calibri" w:hAnsi="Calibri"/>
                <w:color w:val="171717"/>
                <w:sz w:val="19"/>
              </w:rPr>
              <w:t>9</w:t>
            </w:r>
          </w:p>
        </w:tc>
        <w:tc>
          <w:tcPr>
            <w:tcW w:type="dxa" w:w="3888"/>
            <w:vAlign w:val="center"/>
            <w:tcMar>
              <w:top w:w="80" w:type="dxa"/>
              <w:bottom w:w="80" w:type="dxa"/>
              <w:start w:w="120" w:type="dxa"/>
              <w:end w:w="120" w:type="dxa"/>
            </w:tcMar>
          </w:tcPr>
          <w:p>
            <w:pPr>
              <w:spacing w:before="0" w:after="0" w:line="269" w:lineRule="auto"/>
            </w:pPr>
            <w:r>
              <w:rPr>
                <w:rFonts w:ascii="Calibri" w:hAnsi="Calibri"/>
                <w:color w:val="171717"/>
                <w:sz w:val="19"/>
              </w:rPr>
              <w:t>Bruno Retailleau</w:t>
            </w:r>
          </w:p>
        </w:tc>
        <w:tc>
          <w:tcPr>
            <w:tcW w:type="dxa" w:w="1296"/>
            <w:vAlign w:val="center"/>
            <w:tcMar>
              <w:top w:w="80" w:type="dxa"/>
              <w:bottom w:w="80" w:type="dxa"/>
              <w:start w:w="120" w:type="dxa"/>
              <w:end w:w="120" w:type="dxa"/>
            </w:tcMar>
          </w:tcPr>
          <w:p>
            <w:pPr>
              <w:spacing w:before="0" w:after="0" w:line="269" w:lineRule="auto"/>
            </w:pPr>
            <w:r>
              <w:rPr>
                <w:rFonts w:ascii="Calibri" w:hAnsi="Calibri"/>
                <w:color w:val="171717"/>
                <w:sz w:val="19"/>
              </w:rPr>
              <w:t>37/100</w:t>
            </w:r>
          </w:p>
        </w:tc>
        <w:tc>
          <w:tcPr>
            <w:tcW w:type="dxa" w:w="3456"/>
            <w:vAlign w:val="center"/>
            <w:tcMar>
              <w:top w:w="80" w:type="dxa"/>
              <w:bottom w:w="80" w:type="dxa"/>
              <w:start w:w="120" w:type="dxa"/>
              <w:end w:w="120" w:type="dxa"/>
            </w:tcMar>
          </w:tcPr>
          <w:p>
            <w:pPr>
              <w:spacing w:before="0" w:after="0" w:line="269" w:lineRule="auto"/>
            </w:pPr>
            <w:r>
              <w:rPr>
                <w:rFonts w:ascii="Calibri" w:hAnsi="Calibri"/>
                <w:color w:val="171717"/>
                <w:sz w:val="19"/>
              </w:rPr>
              <w:t>Moyenne</w:t>
            </w:r>
          </w:p>
        </w:tc>
      </w:tr>
      <w:tr>
        <w:trPr>
          <w:cantSplit/>
        </w:trPr>
        <w:tc>
          <w:tcPr>
            <w:tcW w:type="dxa" w:w="720"/>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10</w:t>
            </w:r>
          </w:p>
        </w:tc>
        <w:tc>
          <w:tcPr>
            <w:tcW w:type="dxa" w:w="3888"/>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Éric Zemmour</w:t>
            </w:r>
          </w:p>
        </w:tc>
        <w:tc>
          <w:tcPr>
            <w:tcW w:type="dxa" w:w="1296"/>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24/100</w:t>
            </w:r>
          </w:p>
        </w:tc>
        <w:tc>
          <w:tcPr>
            <w:tcW w:type="dxa" w:w="3456"/>
            <w:vAlign w:val="center"/>
            <w:shd w:fill="F7F5FA"/>
            <w:tcMar>
              <w:top w:w="80" w:type="dxa"/>
              <w:bottom w:w="80" w:type="dxa"/>
              <w:start w:w="120" w:type="dxa"/>
              <w:end w:w="120" w:type="dxa"/>
            </w:tcMar>
          </w:tcPr>
          <w:p>
            <w:pPr>
              <w:spacing w:before="0" w:after="0" w:line="269" w:lineRule="auto"/>
            </w:pPr>
            <w:r>
              <w:rPr>
                <w:rFonts w:ascii="Calibri" w:hAnsi="Calibri"/>
                <w:color w:val="171717"/>
                <w:sz w:val="19"/>
              </w:rPr>
              <w:t>Moyenne à élevée</w:t>
            </w:r>
          </w:p>
        </w:tc>
      </w:tr>
    </w:tbl>
    <w:p>
      <w:r>
        <w:t>Le classement mesure une compatibilité avec une grille de gauche républicaine, sociale, laïque, décentralisatrice et européenne. Les profils proches en total peuvent diverger fortement sur les axes qui les portent.</w:t>
      </w:r>
    </w:p>
    <w:p>
      <w:r>
        <w:br w:type="page"/>
      </w:r>
    </w:p>
    <w:p>
      <w:pPr>
        <w:pStyle w:val="Heading1"/>
      </w:pPr>
      <w:r>
        <w:t>Les dix axes</w:t>
      </w:r>
    </w:p>
    <w:tbl>
      <w:tblPr>
        <w:tblStyle w:val="TableGrid"/>
        <w:tblW w:type="dxa" w:w="9360"/>
        <w:jc w:val="left"/>
        <w:tblLayout w:type="fixed"/>
        <w:tblLook w:firstColumn="1" w:firstRow="1" w:lastColumn="0" w:lastRow="0" w:noHBand="0" w:noVBand="1" w:val="04A0"/>
        <w:tblInd w:type="dxa" w:w="120"/>
      </w:tblPr>
      <w:tblGrid>
        <w:gridCol w:w="792"/>
        <w:gridCol w:w="3168"/>
        <w:gridCol w:w="5400"/>
      </w:tblGrid>
      <w:tr>
        <w:trPr>
          <w:tblHeader w:val="true"/>
          <w:cantSplit/>
        </w:trPr>
        <w:tc>
          <w:tcPr>
            <w:tcW w:type="dxa" w:w="792"/>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Axe</w:t>
            </w:r>
          </w:p>
        </w:tc>
        <w:tc>
          <w:tcPr>
            <w:tcW w:type="dxa" w:w="3168"/>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Intitulé</w:t>
            </w:r>
          </w:p>
        </w:tc>
        <w:tc>
          <w:tcPr>
            <w:tcW w:type="dxa" w:w="5400"/>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Périmètre</w:t>
            </w:r>
          </w:p>
        </w:tc>
      </w:tr>
      <w:tr>
        <w:trPr>
          <w:cantSplit/>
        </w:trPr>
        <w:tc>
          <w:tcPr>
            <w:tcW w:type="dxa" w:w="792"/>
            <w:vAlign w:val="center"/>
            <w:tcMar>
              <w:top w:w="80" w:type="dxa"/>
              <w:bottom w:w="80" w:type="dxa"/>
              <w:start w:w="120" w:type="dxa"/>
              <w:end w:w="120" w:type="dxa"/>
            </w:tcMar>
          </w:tcPr>
          <w:p>
            <w:pPr>
              <w:spacing w:before="0" w:after="0" w:line="269" w:lineRule="auto"/>
            </w:pPr>
            <w:r>
              <w:rPr>
                <w:rFonts w:ascii="Calibri" w:hAnsi="Calibri"/>
                <w:color w:val="171717"/>
                <w:sz w:val="17"/>
              </w:rPr>
              <w:t>A1</w:t>
            </w:r>
          </w:p>
        </w:tc>
        <w:tc>
          <w:tcPr>
            <w:tcW w:type="dxa" w:w="3168"/>
            <w:vAlign w:val="center"/>
            <w:tcMar>
              <w:top w:w="80" w:type="dxa"/>
              <w:bottom w:w="80" w:type="dxa"/>
              <w:start w:w="120" w:type="dxa"/>
              <w:end w:w="120" w:type="dxa"/>
            </w:tcMar>
          </w:tcPr>
          <w:p>
            <w:pPr>
              <w:spacing w:before="0" w:after="0" w:line="269" w:lineRule="auto"/>
            </w:pPr>
            <w:r>
              <w:rPr>
                <w:rFonts w:ascii="Calibri" w:hAnsi="Calibri"/>
                <w:color w:val="171717"/>
                <w:sz w:val="17"/>
              </w:rPr>
              <w:t>Libertés, laïcité et émancipation</w:t>
            </w:r>
          </w:p>
        </w:tc>
        <w:tc>
          <w:tcPr>
            <w:tcW w:type="dxa" w:w="5400"/>
            <w:vAlign w:val="center"/>
            <w:tcMar>
              <w:top w:w="80" w:type="dxa"/>
              <w:bottom w:w="80" w:type="dxa"/>
              <w:start w:w="120" w:type="dxa"/>
              <w:end w:w="120" w:type="dxa"/>
            </w:tcMar>
          </w:tcPr>
          <w:p>
            <w:pPr>
              <w:spacing w:before="0" w:after="0" w:line="269" w:lineRule="auto"/>
            </w:pPr>
            <w:r>
              <w:rPr>
                <w:rFonts w:ascii="Calibri" w:hAnsi="Calibri"/>
                <w:color w:val="171717"/>
                <w:sz w:val="17"/>
              </w:rPr>
              <w:t>Laïcité stricte, liberté de conscience, autonomie personnelle, droit de mourir dans la dignité, légalisation publique du cannabis et lutte contre les discriminations.</w:t>
            </w:r>
          </w:p>
        </w:tc>
      </w:tr>
      <w:tr>
        <w:trPr>
          <w:cantSplit/>
        </w:trPr>
        <w:tc>
          <w:tcPr>
            <w:tcW w:type="dxa" w:w="792"/>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A2</w:t>
            </w:r>
          </w:p>
        </w:tc>
        <w:tc>
          <w:tcPr>
            <w:tcW w:type="dxa" w:w="3168"/>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VIe République parlementaire</w:t>
            </w:r>
          </w:p>
        </w:tc>
        <w:tc>
          <w:tcPr>
            <w:tcW w:type="dxa" w:w="5400"/>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Présidence arbitrale élue indirectement pour sept ans non renouvelables, pouvoir gouvernemental exercé par un Premier ministre issu de la majorité législative et Parlement renforcé.</w:t>
            </w:r>
          </w:p>
        </w:tc>
      </w:tr>
      <w:tr>
        <w:trPr>
          <w:cantSplit/>
        </w:trPr>
        <w:tc>
          <w:tcPr>
            <w:tcW w:type="dxa" w:w="792"/>
            <w:vAlign w:val="center"/>
            <w:tcMar>
              <w:top w:w="80" w:type="dxa"/>
              <w:bottom w:w="80" w:type="dxa"/>
              <w:start w:w="120" w:type="dxa"/>
              <w:end w:w="120" w:type="dxa"/>
            </w:tcMar>
          </w:tcPr>
          <w:p>
            <w:pPr>
              <w:spacing w:before="0" w:after="0" w:line="269" w:lineRule="auto"/>
            </w:pPr>
            <w:r>
              <w:rPr>
                <w:rFonts w:ascii="Calibri" w:hAnsi="Calibri"/>
                <w:color w:val="171717"/>
                <w:sz w:val="17"/>
              </w:rPr>
              <w:t>A3</w:t>
            </w:r>
          </w:p>
        </w:tc>
        <w:tc>
          <w:tcPr>
            <w:tcW w:type="dxa" w:w="3168"/>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 et territoires</w:t>
            </w:r>
          </w:p>
        </w:tc>
        <w:tc>
          <w:tcPr>
            <w:tcW w:type="dxa" w:w="5400"/>
            <w:vAlign w:val="center"/>
            <w:tcMar>
              <w:top w:w="80" w:type="dxa"/>
              <w:bottom w:w="80" w:type="dxa"/>
              <w:start w:w="120" w:type="dxa"/>
              <w:end w:w="120" w:type="dxa"/>
            </w:tcMar>
          </w:tcPr>
          <w:p>
            <w:pPr>
              <w:spacing w:before="0" w:after="0" w:line="269" w:lineRule="auto"/>
            </w:pPr>
            <w:r>
              <w:rPr>
                <w:rFonts w:ascii="Calibri" w:hAnsi="Calibri"/>
                <w:color w:val="171717"/>
                <w:sz w:val="17"/>
              </w:rPr>
              <w:t>Transfert de l'action publique non régalienne vers les régions, différenciation territoriale, services publics de proximité et équilibre entre territoires.</w:t>
            </w:r>
          </w:p>
        </w:tc>
      </w:tr>
      <w:tr>
        <w:trPr>
          <w:cantSplit/>
        </w:trPr>
        <w:tc>
          <w:tcPr>
            <w:tcW w:type="dxa" w:w="792"/>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A4</w:t>
            </w:r>
          </w:p>
        </w:tc>
        <w:tc>
          <w:tcPr>
            <w:tcW w:type="dxa" w:w="3168"/>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Démocratie citoyenne et électorale</w:t>
            </w:r>
          </w:p>
        </w:tc>
        <w:tc>
          <w:tcPr>
            <w:tcW w:type="dxa" w:w="5400"/>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Proportionnelle, vote obligatoire, reconnaissance du vote blanc, participation citoyenne et droit de vote local des étrangers résidant durablement en France.</w:t>
            </w:r>
          </w:p>
        </w:tc>
      </w:tr>
      <w:tr>
        <w:trPr>
          <w:cantSplit/>
        </w:trPr>
        <w:tc>
          <w:tcPr>
            <w:tcW w:type="dxa" w:w="792"/>
            <w:vAlign w:val="center"/>
            <w:tcMar>
              <w:top w:w="80" w:type="dxa"/>
              <w:bottom w:w="80" w:type="dxa"/>
              <w:start w:w="120" w:type="dxa"/>
              <w:end w:w="120" w:type="dxa"/>
            </w:tcMar>
          </w:tcPr>
          <w:p>
            <w:pPr>
              <w:spacing w:before="0" w:after="0" w:line="269" w:lineRule="auto"/>
            </w:pPr>
            <w:r>
              <w:rPr>
                <w:rFonts w:ascii="Calibri" w:hAnsi="Calibri"/>
                <w:color w:val="171717"/>
                <w:sz w:val="17"/>
              </w:rPr>
              <w:t>A5</w:t>
            </w:r>
          </w:p>
        </w:tc>
        <w:tc>
          <w:tcPr>
            <w:tcW w:type="dxa" w:w="3168"/>
            <w:vAlign w:val="center"/>
            <w:tcMar>
              <w:top w:w="80" w:type="dxa"/>
              <w:bottom w:w="80" w:type="dxa"/>
              <w:start w:w="120" w:type="dxa"/>
              <w:end w:w="120" w:type="dxa"/>
            </w:tcMar>
          </w:tcPr>
          <w:p>
            <w:pPr>
              <w:spacing w:before="0" w:after="0" w:line="269" w:lineRule="auto"/>
            </w:pPr>
            <w:r>
              <w:rPr>
                <w:rFonts w:ascii="Calibri" w:hAnsi="Calibri"/>
                <w:color w:val="171717"/>
                <w:sz w:val="17"/>
              </w:rPr>
              <w:t>Démocratie économique et travail</w:t>
            </w:r>
          </w:p>
        </w:tc>
        <w:tc>
          <w:tcPr>
            <w:tcW w:type="dxa" w:w="5400"/>
            <w:vAlign w:val="center"/>
            <w:tcMar>
              <w:top w:w="80" w:type="dxa"/>
              <w:bottom w:w="80" w:type="dxa"/>
              <w:start w:w="120" w:type="dxa"/>
              <w:end w:w="120" w:type="dxa"/>
            </w:tcMar>
          </w:tcPr>
          <w:p>
            <w:pPr>
              <w:spacing w:before="0" w:after="0" w:line="269" w:lineRule="auto"/>
            </w:pPr>
            <w:r>
              <w:rPr>
                <w:rFonts w:ascii="Calibri" w:hAnsi="Calibri"/>
                <w:color w:val="171717"/>
                <w:sz w:val="17"/>
              </w:rPr>
              <w:t>Échelle salariale maximale, partage des dividendes avec les salariés, représentation élue des salariés dans la gouvernance et rééquilibrage du pouvoir dans l'entreprise.</w:t>
            </w:r>
          </w:p>
        </w:tc>
      </w:tr>
      <w:tr>
        <w:trPr>
          <w:cantSplit/>
        </w:trPr>
        <w:tc>
          <w:tcPr>
            <w:tcW w:type="dxa" w:w="792"/>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A6</w:t>
            </w:r>
          </w:p>
        </w:tc>
        <w:tc>
          <w:tcPr>
            <w:tcW w:type="dxa" w:w="3168"/>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 et égalité de départ</w:t>
            </w:r>
          </w:p>
        </w:tc>
        <w:tc>
          <w:tcPr>
            <w:tcW w:type="dxa" w:w="5400"/>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Capital de départ jusqu'à 40 000 euros à 18 ans, revenu minimum au niveau du SMIC pour les personnes durablement empêchées de travailler, services publics et reconnaissance du bénévolat.</w:t>
            </w:r>
          </w:p>
        </w:tc>
      </w:tr>
      <w:tr>
        <w:trPr>
          <w:cantSplit/>
        </w:trPr>
        <w:tc>
          <w:tcPr>
            <w:tcW w:type="dxa" w:w="792"/>
            <w:vAlign w:val="center"/>
            <w:tcMar>
              <w:top w:w="80" w:type="dxa"/>
              <w:bottom w:w="80" w:type="dxa"/>
              <w:start w:w="120" w:type="dxa"/>
              <w:end w:w="120" w:type="dxa"/>
            </w:tcMar>
          </w:tcPr>
          <w:p>
            <w:pPr>
              <w:spacing w:before="0" w:after="0" w:line="269" w:lineRule="auto"/>
            </w:pPr>
            <w:r>
              <w:rPr>
                <w:rFonts w:ascii="Calibri" w:hAnsi="Calibri"/>
                <w:color w:val="171717"/>
                <w:sz w:val="17"/>
              </w:rPr>
              <w:t>A7</w:t>
            </w:r>
          </w:p>
        </w:tc>
        <w:tc>
          <w:tcPr>
            <w:tcW w:type="dxa" w:w="3168"/>
            <w:vAlign w:val="center"/>
            <w:tcMar>
              <w:top w:w="80" w:type="dxa"/>
              <w:bottom w:w="80" w:type="dxa"/>
              <w:start w:w="120" w:type="dxa"/>
              <w:end w:w="120" w:type="dxa"/>
            </w:tcMar>
          </w:tcPr>
          <w:p>
            <w:pPr>
              <w:spacing w:before="0" w:after="0" w:line="269" w:lineRule="auto"/>
            </w:pPr>
            <w:r>
              <w:rPr>
                <w:rFonts w:ascii="Calibri" w:hAnsi="Calibri"/>
                <w:color w:val="171717"/>
                <w:sz w:val="17"/>
              </w:rPr>
              <w:t>Fiscalité, patrimoine et justice sociale</w:t>
            </w:r>
          </w:p>
        </w:tc>
        <w:tc>
          <w:tcPr>
            <w:tcW w:type="dxa" w:w="5400"/>
            <w:vAlign w:val="center"/>
            <w:tcMar>
              <w:top w:w="80" w:type="dxa"/>
              <w:bottom w:w="80" w:type="dxa"/>
              <w:start w:w="120" w:type="dxa"/>
              <w:end w:w="120" w:type="dxa"/>
            </w:tcMar>
          </w:tcPr>
          <w:p>
            <w:pPr>
              <w:spacing w:before="0" w:after="0" w:line="269" w:lineRule="auto"/>
            </w:pPr>
            <w:r>
              <w:rPr>
                <w:rFonts w:ascii="Calibri" w:hAnsi="Calibri"/>
                <w:color w:val="171717"/>
                <w:sz w:val="17"/>
              </w:rPr>
              <w:t>Rétablissement d'un impôt sur la fortune, progressivité, lutte renforcée contre la fraude fiscale, contribution des successions importantes et fiscalité orientée vers l'équité.</w:t>
            </w:r>
          </w:p>
        </w:tc>
      </w:tr>
      <w:tr>
        <w:trPr>
          <w:cantSplit/>
        </w:trPr>
        <w:tc>
          <w:tcPr>
            <w:tcW w:type="dxa" w:w="792"/>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A8</w:t>
            </w:r>
          </w:p>
        </w:tc>
        <w:tc>
          <w:tcPr>
            <w:tcW w:type="dxa" w:w="3168"/>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Écologie, industrie et souverainetés</w:t>
            </w:r>
          </w:p>
        </w:tc>
        <w:tc>
          <w:tcPr>
            <w:tcW w:type="dxa" w:w="5400"/>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Taxation du carbone et du luxe carboné, nationalisation de l'eau, souveraineté industrielle, contrôle des acquisitions, économie maritime et politiques publiques d'investissement.</w:t>
            </w:r>
          </w:p>
        </w:tc>
      </w:tr>
      <w:tr>
        <w:trPr>
          <w:cantSplit/>
        </w:trPr>
        <w:tc>
          <w:tcPr>
            <w:tcW w:type="dxa" w:w="792"/>
            <w:vAlign w:val="center"/>
            <w:tcMar>
              <w:top w:w="80" w:type="dxa"/>
              <w:bottom w:w="80" w:type="dxa"/>
              <w:start w:w="120" w:type="dxa"/>
              <w:end w:w="120" w:type="dxa"/>
            </w:tcMar>
          </w:tcPr>
          <w:p>
            <w:pPr>
              <w:spacing w:before="0" w:after="0" w:line="269" w:lineRule="auto"/>
            </w:pPr>
            <w:r>
              <w:rPr>
                <w:rFonts w:ascii="Calibri" w:hAnsi="Calibri"/>
                <w:color w:val="171717"/>
                <w:sz w:val="17"/>
              </w:rPr>
              <w:t>A9</w:t>
            </w:r>
          </w:p>
        </w:tc>
        <w:tc>
          <w:tcPr>
            <w:tcW w:type="dxa" w:w="3168"/>
            <w:vAlign w:val="center"/>
            <w:tcMar>
              <w:top w:w="80" w:type="dxa"/>
              <w:bottom w:w="80" w:type="dxa"/>
              <w:start w:w="120" w:type="dxa"/>
              <w:end w:w="120" w:type="dxa"/>
            </w:tcMar>
          </w:tcPr>
          <w:p>
            <w:pPr>
              <w:spacing w:before="0" w:after="0" w:line="269" w:lineRule="auto"/>
            </w:pPr>
            <w:r>
              <w:rPr>
                <w:rFonts w:ascii="Calibri" w:hAnsi="Calibri"/>
                <w:color w:val="171717"/>
                <w:sz w:val="17"/>
              </w:rPr>
              <w:t>Numérique, données et intelligence artificielle</w:t>
            </w:r>
          </w:p>
        </w:tc>
        <w:tc>
          <w:tcPr>
            <w:tcW w:type="dxa" w:w="5400"/>
            <w:vAlign w:val="center"/>
            <w:tcMar>
              <w:top w:w="80" w:type="dxa"/>
              <w:bottom w:w="80" w:type="dxa"/>
              <w:start w:w="120" w:type="dxa"/>
              <w:end w:w="120" w:type="dxa"/>
            </w:tcMar>
          </w:tcPr>
          <w:p>
            <w:pPr>
              <w:spacing w:before="0" w:after="0" w:line="269" w:lineRule="auto"/>
            </w:pPr>
            <w:r>
              <w:rPr>
                <w:rFonts w:ascii="Calibri" w:hAnsi="Calibri"/>
                <w:color w:val="171717"/>
                <w:sz w:val="17"/>
              </w:rPr>
              <w:t>Souveraineté des données, hébergement en France, agence publique de l'IA, moteurs publics sans traçage, CNIL renforcée et encadrement du pouvoir des grandes plateformes.</w:t>
            </w:r>
          </w:p>
        </w:tc>
      </w:tr>
      <w:tr>
        <w:trPr>
          <w:cantSplit/>
        </w:trPr>
        <w:tc>
          <w:tcPr>
            <w:tcW w:type="dxa" w:w="792"/>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A10</w:t>
            </w:r>
          </w:p>
        </w:tc>
        <w:tc>
          <w:tcPr>
            <w:tcW w:type="dxa" w:w="3168"/>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Europe, coopération et ordre démocratique</w:t>
            </w:r>
          </w:p>
        </w:tc>
        <w:tc>
          <w:tcPr>
            <w:tcW w:type="dxa" w:w="5400"/>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Construction européenne protectrice, coopération entre démocraties, autonomie stratégique, multilatéralisme et défense d'un universalisme républicain.</w:t>
            </w:r>
          </w:p>
        </w:tc>
      </w:tr>
    </w:tbl>
    <w:p>
      <w:r>
        <w:br w:type="page"/>
      </w:r>
    </w:p>
    <w:p>
      <w:pPr>
        <w:pStyle w:val="Heading1"/>
      </w:pPr>
      <w:r>
        <w:t>Matrice des 100 notes</w:t>
      </w:r>
    </w:p>
    <w:p>
      <w:pPr>
        <w:keepNext/>
        <w:jc w:val="center"/>
      </w:pPr>
      <w:r>
        <w:drawing>
          <wp:inline xmlns:a="http://schemas.openxmlformats.org/drawingml/2006/main" xmlns:pic="http://schemas.openxmlformats.org/drawingml/2006/picture">
            <wp:extent cx="5897880" cy="4194048"/>
            <wp:docPr id="1" name="Picture 1" descr="Matrice du référentiel PRG : dix candidatures, dix axes et total sur 100." title="Matrice du référentiel PRG : dix candidatures, dix axes et total sur 100."/>
            <wp:cNvGraphicFramePr>
              <a:graphicFrameLocks noChangeAspect="1"/>
            </wp:cNvGraphicFramePr>
            <a:graphic>
              <a:graphicData uri="http://schemas.openxmlformats.org/drawingml/2006/picture">
                <pic:pic>
                  <pic:nvPicPr>
                    <pic:cNvPr id="0" name="matrice-prg.png"/>
                    <pic:cNvPicPr/>
                  </pic:nvPicPr>
                  <pic:blipFill>
                    <a:blip r:embed="rId11"/>
                    <a:stretch>
                      <a:fillRect/>
                    </a:stretch>
                  </pic:blipFill>
                  <pic:spPr>
                    <a:xfrm>
                      <a:off x="0" y="0"/>
                      <a:ext cx="5897880" cy="4194048"/>
                    </a:xfrm>
                    <a:prstGeom prst="rect"/>
                  </pic:spPr>
                </pic:pic>
              </a:graphicData>
            </a:graphic>
          </wp:inline>
        </w:drawing>
      </w:r>
    </w:p>
    <w:p>
      <w:pPr>
        <w:spacing w:before="80" w:after="160"/>
        <w:jc w:val="center"/>
      </w:pPr>
      <w:r>
        <w:rPr>
          <w:rFonts w:ascii="Calibri" w:hAnsi="Calibri"/>
          <w:i/>
          <w:color w:val="66616F"/>
          <w:sz w:val="18"/>
        </w:rPr>
        <w:t>Les dix notes de chaque candidature sont détaillées dans les sections suivantes.</w:t>
      </w:r>
    </w:p>
    <w:p>
      <w:r>
        <w:br w:type="page"/>
      </w:r>
    </w:p>
    <w:p>
      <w:pPr>
        <w:pStyle w:val="Heading1"/>
      </w:pPr>
      <w:r>
        <w:t>Justifications par candidature</w:t>
      </w:r>
    </w:p>
    <w:p>
      <w:pPr>
        <w:pStyle w:val="Heading2"/>
      </w:pPr>
      <w:r>
        <w:t>1. Marine Tondelier — 89/100</w:t>
      </w:r>
    </w:p>
    <w:p>
      <w:pPr>
        <w:keepLines/>
      </w:pPr>
      <w:r>
        <w:rPr>
          <w:rFonts w:ascii="Calibri" w:hAnsi="Calibri"/>
          <w:b/>
          <w:color w:val="171717"/>
        </w:rPr>
        <w:t xml:space="preserve">Organisation : </w:t>
      </w:r>
      <w:r>
        <w:rPr>
          <w:rFonts w:ascii="Calibri" w:hAnsi="Calibri"/>
          <w:color w:val="171717"/>
        </w:rPr>
        <w:t>Les Écologistes</w:t>
      </w:r>
    </w:p>
    <w:p>
      <w:pPr>
        <w:keepLines/>
      </w:pPr>
      <w:r>
        <w:rPr>
          <w:rFonts w:ascii="Calibri" w:hAnsi="Calibri"/>
          <w:b/>
          <w:color w:val="171717"/>
        </w:rPr>
        <w:t xml:space="preserve">Solidité documentaire : </w:t>
      </w:r>
      <w:r>
        <w:rPr>
          <w:rFonts w:ascii="Calibri" w:hAnsi="Calibri"/>
          <w:color w:val="171717"/>
        </w:rPr>
        <w:t>Élevée</w:t>
      </w:r>
    </w:p>
    <w:tbl>
      <w:tblPr>
        <w:tblStyle w:val="TableGrid"/>
        <w:tblW w:type="dxa" w:w="9360"/>
        <w:jc w:val="left"/>
        <w:tblLayout w:type="fixed"/>
        <w:tblLook w:firstColumn="1" w:firstRow="1" w:lastColumn="0" w:lastRow="0" w:noHBand="0" w:noVBand="1" w:val="04A0"/>
        <w:tblInd w:type="dxa" w:w="120"/>
      </w:tblPr>
      <w:tblGrid>
        <w:gridCol w:w="691"/>
        <w:gridCol w:w="2189"/>
        <w:gridCol w:w="835"/>
        <w:gridCol w:w="5645"/>
      </w:tblGrid>
      <w:tr>
        <w:trPr>
          <w:tblHeader w:val="true"/>
          <w:cantSplit/>
        </w:trPr>
        <w:tc>
          <w:tcPr>
            <w:tcW w:type="dxa" w:w="691"/>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Axe</w:t>
            </w:r>
          </w:p>
        </w:tc>
        <w:tc>
          <w:tcPr>
            <w:tcW w:type="dxa" w:w="2189"/>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Thème</w:t>
            </w:r>
          </w:p>
        </w:tc>
        <w:tc>
          <w:tcPr>
            <w:tcW w:type="dxa" w:w="83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Note</w:t>
            </w:r>
          </w:p>
        </w:tc>
        <w:tc>
          <w:tcPr>
            <w:tcW w:type="dxa" w:w="564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Justification</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A1</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Libertés &amp; laïcité</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Très forte proximité sur les libertés personnelles, la lutte contre les discriminations et la laïcité ; approche moins centralement républicaine que le PRG.</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A2</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VIe République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Parlement renforcé, réduction du pouvoir présidentiel et réforme institutionnelle très proches, malgré un dessin constitutionnel différent.</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A3</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Régionalisme, autonomie locale et services publics territoriaux fortement compatibles.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A4</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Démocratie citoyenne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Proportionnelle, participation citoyenne, droits politiques élargis et reconnaissance du vote blanc convergent très fortement ; l'absence de vote obligatoire empêche toutefois une compatibilité complète.</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A5</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Travail &amp; entreprise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Partage du pouvoir dans l'entreprise et réduction des écarts salariaux très compatibles ; modalités non identiques.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A6</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Services publics, lutte contre la pauvreté et égalité réelle très proches ; pas de capital de départ identique.</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A7</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Justice fiscale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Fiscalité du patrimoine et du capital, progressivité et lutte contre la fraude nettement convergentes.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A8</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Écologie &amp; industrie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Compatibilité très forte sur l'écologie et l'investissement public ; divergences possibles sur certains choix industriels.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A9</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Numérique &amp; IA</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Communs numériques, services publics numériques, données et régulation des plateformes largement compatibles.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A10</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Europe &amp; international</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Européisme, multilatéralisme et coopération démocratique très compatibles.</w:t>
            </w:r>
          </w:p>
        </w:tc>
      </w:tr>
    </w:tbl>
    <w:p>
      <w:r>
        <w:br w:type="page"/>
      </w:r>
    </w:p>
    <w:p>
      <w:pPr>
        <w:pStyle w:val="Heading2"/>
      </w:pPr>
      <w:r>
        <w:t>2. Jean-Luc Mélenchon — 86/100</w:t>
      </w:r>
    </w:p>
    <w:p>
      <w:pPr>
        <w:keepLines/>
      </w:pPr>
      <w:r>
        <w:rPr>
          <w:rFonts w:ascii="Calibri" w:hAnsi="Calibri"/>
          <w:b/>
          <w:color w:val="171717"/>
        </w:rPr>
        <w:t xml:space="preserve">Organisation : </w:t>
      </w:r>
      <w:r>
        <w:rPr>
          <w:rFonts w:ascii="Calibri" w:hAnsi="Calibri"/>
          <w:color w:val="171717"/>
        </w:rPr>
        <w:t>La France insoumise</w:t>
      </w:r>
    </w:p>
    <w:p>
      <w:pPr>
        <w:keepLines/>
      </w:pPr>
      <w:r>
        <w:rPr>
          <w:rFonts w:ascii="Calibri" w:hAnsi="Calibri"/>
          <w:b/>
          <w:color w:val="171717"/>
        </w:rPr>
        <w:t xml:space="preserve">Solidité documentaire : </w:t>
      </w:r>
      <w:r>
        <w:rPr>
          <w:rFonts w:ascii="Calibri" w:hAnsi="Calibri"/>
          <w:color w:val="171717"/>
        </w:rPr>
        <w:t>Élevée</w:t>
      </w:r>
    </w:p>
    <w:tbl>
      <w:tblPr>
        <w:tblStyle w:val="TableGrid"/>
        <w:tblW w:type="dxa" w:w="9360"/>
        <w:jc w:val="left"/>
        <w:tblLayout w:type="fixed"/>
        <w:tblLook w:firstColumn="1" w:firstRow="1" w:lastColumn="0" w:lastRow="0" w:noHBand="0" w:noVBand="1" w:val="04A0"/>
        <w:tblInd w:type="dxa" w:w="120"/>
      </w:tblPr>
      <w:tblGrid>
        <w:gridCol w:w="691"/>
        <w:gridCol w:w="2189"/>
        <w:gridCol w:w="835"/>
        <w:gridCol w:w="5645"/>
      </w:tblGrid>
      <w:tr>
        <w:trPr>
          <w:tblHeader w:val="true"/>
          <w:cantSplit/>
        </w:trPr>
        <w:tc>
          <w:tcPr>
            <w:tcW w:type="dxa" w:w="691"/>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Axe</w:t>
            </w:r>
          </w:p>
        </w:tc>
        <w:tc>
          <w:tcPr>
            <w:tcW w:type="dxa" w:w="2189"/>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Thème</w:t>
            </w:r>
          </w:p>
        </w:tc>
        <w:tc>
          <w:tcPr>
            <w:tcW w:type="dxa" w:w="83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Note</w:t>
            </w:r>
          </w:p>
        </w:tc>
        <w:tc>
          <w:tcPr>
            <w:tcW w:type="dxa" w:w="564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Justification</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A1</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Libertés &amp; laïcité</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Forte convergence sur les libertés personnelles et le cannabis ; tensions ponctuelles sur la conception de la laïcité républicaine.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A2</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VIe République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La VIe République est un axe central et très compatible, mais le processus constituant et le mode de désignation du chef de l'État diffèrent du schéma précis du PRG.</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A3</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 et services publics locaux présents, mais doctrine plus jacobine que celle du PRG.</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A4</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Démocratie citoyenne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Proportionnelle, participation populaire et réforme démocratique très proches.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A5</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Travail &amp; entreprise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10/10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Échelle des salaires, pouvoir des salariés et partage de la valeur pleinement convergents.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A6</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10/10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Capital d'autonomie, minima sociaux et services publics universels très proches de l'ambition PRG.</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A7</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Justice fiscale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10/10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ISF, successions, progressivité et lutte contre la fraude sont très fortement compatibles.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A8</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Écologie &amp; industrie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Planification écologique, souveraineté industrielle et contrôle public très proches.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A9</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Numérique &amp; IA</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Souveraineté numérique, services publics numériques et régulation des plateformes convergent fortement.</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A10</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Europe &amp; international</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4/10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Divergence importante sur l'intégration européenne et plusieurs choix géopolitiques, malgré un socle multilatéral commun.</w:t>
            </w:r>
          </w:p>
        </w:tc>
      </w:tr>
    </w:tbl>
    <w:p>
      <w:r>
        <w:br w:type="page"/>
      </w:r>
    </w:p>
    <w:p>
      <w:pPr>
        <w:pStyle w:val="Heading2"/>
      </w:pPr>
      <w:r>
        <w:t>3. François Ruffin — 84/100</w:t>
      </w:r>
    </w:p>
    <w:p>
      <w:pPr>
        <w:keepLines/>
      </w:pPr>
      <w:r>
        <w:rPr>
          <w:rFonts w:ascii="Calibri" w:hAnsi="Calibri"/>
          <w:b/>
          <w:color w:val="171717"/>
        </w:rPr>
        <w:t xml:space="preserve">Organisation : </w:t>
      </w:r>
      <w:r>
        <w:rPr>
          <w:rFonts w:ascii="Calibri" w:hAnsi="Calibri"/>
          <w:color w:val="171717"/>
        </w:rPr>
        <w:t>Debout ! / Picardie Debout</w:t>
      </w:r>
    </w:p>
    <w:p>
      <w:pPr>
        <w:keepLines/>
      </w:pPr>
      <w:r>
        <w:rPr>
          <w:rFonts w:ascii="Calibri" w:hAnsi="Calibri"/>
          <w:b/>
          <w:color w:val="171717"/>
        </w:rPr>
        <w:t xml:space="preserve">Solidité documentaire : </w:t>
      </w:r>
      <w:r>
        <w:rPr>
          <w:rFonts w:ascii="Calibri" w:hAnsi="Calibri"/>
          <w:color w:val="171717"/>
        </w:rPr>
        <w:t>Moyenne</w:t>
      </w:r>
    </w:p>
    <w:tbl>
      <w:tblPr>
        <w:tblStyle w:val="TableGrid"/>
        <w:tblW w:type="dxa" w:w="9360"/>
        <w:jc w:val="left"/>
        <w:tblLayout w:type="fixed"/>
        <w:tblLook w:firstColumn="1" w:firstRow="1" w:lastColumn="0" w:lastRow="0" w:noHBand="0" w:noVBand="1" w:val="04A0"/>
        <w:tblInd w:type="dxa" w:w="120"/>
      </w:tblPr>
      <w:tblGrid>
        <w:gridCol w:w="691"/>
        <w:gridCol w:w="2189"/>
        <w:gridCol w:w="835"/>
        <w:gridCol w:w="5645"/>
      </w:tblGrid>
      <w:tr>
        <w:trPr>
          <w:tblHeader w:val="true"/>
          <w:cantSplit/>
        </w:trPr>
        <w:tc>
          <w:tcPr>
            <w:tcW w:type="dxa" w:w="691"/>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Axe</w:t>
            </w:r>
          </w:p>
        </w:tc>
        <w:tc>
          <w:tcPr>
            <w:tcW w:type="dxa" w:w="2189"/>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Thème</w:t>
            </w:r>
          </w:p>
        </w:tc>
        <w:tc>
          <w:tcPr>
            <w:tcW w:type="dxa" w:w="83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Note</w:t>
            </w:r>
          </w:p>
        </w:tc>
        <w:tc>
          <w:tcPr>
            <w:tcW w:type="dxa" w:w="564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Justification</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A1</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Libertés &amp; laïcité</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Orientation émancipatrice et sociale compatible ; corpus moins détaillé sur la laïcité institutionnelle et certaines libertés personnelles.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A2</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VIe République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Rééquilibrage parlementaire et critique de la présidentialisation proches, sans architecture aussi complète que celle du PRG.</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A3</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Ancrage territorial, services publics de proximité et lutte contre l'abandon périphérique très compatibles.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A4</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Démocratie citoyenne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Réforme démocratique, proportionnelle et participation citoyenne fortement convergentes.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A5</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Travail &amp; entreprise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10/10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Partage de la valeur, limitation des écarts salariaux et pouvoir des salariés au cœur de sa ligne.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A6</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 jeunesse et lutte contre les inégalités de départ fortement compatibles ; les instruments précis du PRG, notamment le capital de départ, ne sont pas repris à l'identique.</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A7</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Justice fiscale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Fiscalité des plus riches et lutte contre l'évasion fiscale très proches.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A8</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Écologie &amp; industrie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Relocalisation, écologie populaire, investissement public et souveraineté industrielle très compatibles.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A9</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Numérique &amp; IA</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7/10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Positionnement favorable à la régulation et aux services publics numériques, mais corpus personnel trop peu détaillé pour retenir une forte compatibilité.</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A10</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Europe &amp; international</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6/10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Coopération européenne possible, mais doctrine institutionnelle et stratégique moins intégrationniste que le PRG.</w:t>
            </w:r>
          </w:p>
        </w:tc>
      </w:tr>
    </w:tbl>
    <w:p>
      <w:r>
        <w:br w:type="page"/>
      </w:r>
    </w:p>
    <w:p>
      <w:pPr>
        <w:pStyle w:val="Heading2"/>
      </w:pPr>
      <w:r>
        <w:t>4. Raphaël Glucksmann — 83/100</w:t>
      </w:r>
    </w:p>
    <w:p>
      <w:pPr>
        <w:keepLines/>
      </w:pPr>
      <w:r>
        <w:rPr>
          <w:rFonts w:ascii="Calibri" w:hAnsi="Calibri"/>
          <w:b/>
          <w:color w:val="171717"/>
        </w:rPr>
        <w:t xml:space="preserve">Organisation : </w:t>
      </w:r>
      <w:r>
        <w:rPr>
          <w:rFonts w:ascii="Calibri" w:hAnsi="Calibri"/>
          <w:color w:val="171717"/>
        </w:rPr>
        <w:t>Place publique</w:t>
      </w:r>
    </w:p>
    <w:p>
      <w:pPr>
        <w:keepLines/>
      </w:pPr>
      <w:r>
        <w:rPr>
          <w:rFonts w:ascii="Calibri" w:hAnsi="Calibri"/>
          <w:b/>
          <w:color w:val="171717"/>
        </w:rPr>
        <w:t xml:space="preserve">Solidité documentaire : </w:t>
      </w:r>
      <w:r>
        <w:rPr>
          <w:rFonts w:ascii="Calibri" w:hAnsi="Calibri"/>
          <w:color w:val="171717"/>
        </w:rPr>
        <w:t>Élevée</w:t>
      </w:r>
    </w:p>
    <w:tbl>
      <w:tblPr>
        <w:tblStyle w:val="TableGrid"/>
        <w:tblW w:type="dxa" w:w="9360"/>
        <w:jc w:val="left"/>
        <w:tblLayout w:type="fixed"/>
        <w:tblLook w:firstColumn="1" w:firstRow="1" w:lastColumn="0" w:lastRow="0" w:noHBand="0" w:noVBand="1" w:val="04A0"/>
        <w:tblInd w:type="dxa" w:w="120"/>
      </w:tblPr>
      <w:tblGrid>
        <w:gridCol w:w="691"/>
        <w:gridCol w:w="2189"/>
        <w:gridCol w:w="835"/>
        <w:gridCol w:w="5645"/>
      </w:tblGrid>
      <w:tr>
        <w:trPr>
          <w:tblHeader w:val="true"/>
          <w:cantSplit/>
        </w:trPr>
        <w:tc>
          <w:tcPr>
            <w:tcW w:type="dxa" w:w="691"/>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Axe</w:t>
            </w:r>
          </w:p>
        </w:tc>
        <w:tc>
          <w:tcPr>
            <w:tcW w:type="dxa" w:w="2189"/>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Thème</w:t>
            </w:r>
          </w:p>
        </w:tc>
        <w:tc>
          <w:tcPr>
            <w:tcW w:type="dxa" w:w="83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Note</w:t>
            </w:r>
          </w:p>
        </w:tc>
        <w:tc>
          <w:tcPr>
            <w:tcW w:type="dxa" w:w="564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Justification</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A1</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Libertés &amp; laïcité</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Très compatible sur les droits et l'émancipation ; la laïcité stricte et la légalisation publique du cannabis sont moins centrales.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A2</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VIe République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Parlementarisme et démocratisation compatibles, mais pas d'adhésion documentée au schéma présidentiel indirect du PRG.</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A3</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Europe des territoires et services publics compatibles, avec une décentralisation nationale moins structurante.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A4</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Démocratie citoyenne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Proportionnelle, démocratie européenne et participation citoyenne nettement convergentes.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A5</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Travail &amp; entreprise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7/10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Partage de la valeur et droits des travailleurs compatibles, mais approche moins radicale sur l'échelle salariale et la gouvernance.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A6</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État social, jeunesse et réduction des inégalités compatibles ; instruments PRG non repris à l'identique.</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A7</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Justice fiscale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Fiscalité plus progressive et lutte contre l'évasion fortement compatibles.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A8</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Écologie &amp; industrie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Décarbonation industrielle, investissement européen et souveraineté économique très proches.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A9</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Numérique &amp; IA</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Très forte convergence sur l'agence publique du numérique et de l'IA, les infrastructures d'intérêt général, les logiciels libres, les données ouvertes et la régulation des grandes plateformes.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A10</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Europe &amp; international</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10/10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Compatibilité maximale sur l'Europe politique, la défense des démocraties et le multilatéralisme.</w:t>
            </w:r>
          </w:p>
        </w:tc>
      </w:tr>
    </w:tbl>
    <w:p>
      <w:r>
        <w:br w:type="page"/>
      </w:r>
    </w:p>
    <w:p>
      <w:pPr>
        <w:pStyle w:val="Heading2"/>
      </w:pPr>
      <w:r>
        <w:t>5. Fabien Roussel — 81/100</w:t>
      </w:r>
    </w:p>
    <w:p>
      <w:pPr>
        <w:keepLines/>
      </w:pPr>
      <w:r>
        <w:rPr>
          <w:rFonts w:ascii="Calibri" w:hAnsi="Calibri"/>
          <w:b/>
          <w:color w:val="171717"/>
        </w:rPr>
        <w:t xml:space="preserve">Organisation : </w:t>
      </w:r>
      <w:r>
        <w:rPr>
          <w:rFonts w:ascii="Calibri" w:hAnsi="Calibri"/>
          <w:color w:val="171717"/>
        </w:rPr>
        <w:t>Parti communiste français</w:t>
      </w:r>
    </w:p>
    <w:p>
      <w:pPr>
        <w:keepLines/>
      </w:pPr>
      <w:r>
        <w:rPr>
          <w:rFonts w:ascii="Calibri" w:hAnsi="Calibri"/>
          <w:b/>
          <w:color w:val="171717"/>
        </w:rPr>
        <w:t xml:space="preserve">Solidité documentaire : </w:t>
      </w:r>
      <w:r>
        <w:rPr>
          <w:rFonts w:ascii="Calibri" w:hAnsi="Calibri"/>
          <w:color w:val="171717"/>
        </w:rPr>
        <w:t>Moyenne à élevée</w:t>
      </w:r>
    </w:p>
    <w:tbl>
      <w:tblPr>
        <w:tblStyle w:val="TableGrid"/>
        <w:tblW w:type="dxa" w:w="9360"/>
        <w:jc w:val="left"/>
        <w:tblLayout w:type="fixed"/>
        <w:tblLook w:firstColumn="1" w:firstRow="1" w:lastColumn="0" w:lastRow="0" w:noHBand="0" w:noVBand="1" w:val="04A0"/>
        <w:tblInd w:type="dxa" w:w="120"/>
      </w:tblPr>
      <w:tblGrid>
        <w:gridCol w:w="691"/>
        <w:gridCol w:w="2189"/>
        <w:gridCol w:w="835"/>
        <w:gridCol w:w="5645"/>
      </w:tblGrid>
      <w:tr>
        <w:trPr>
          <w:tblHeader w:val="true"/>
          <w:cantSplit/>
        </w:trPr>
        <w:tc>
          <w:tcPr>
            <w:tcW w:type="dxa" w:w="691"/>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Axe</w:t>
            </w:r>
          </w:p>
        </w:tc>
        <w:tc>
          <w:tcPr>
            <w:tcW w:type="dxa" w:w="2189"/>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Thème</w:t>
            </w:r>
          </w:p>
        </w:tc>
        <w:tc>
          <w:tcPr>
            <w:tcW w:type="dxa" w:w="83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Note</w:t>
            </w:r>
          </w:p>
        </w:tc>
        <w:tc>
          <w:tcPr>
            <w:tcW w:type="dxa" w:w="564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Justification</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A1</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Libertés &amp; laïcité</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Laïcité républicaine et égalité fortement compatibles ; quelques libertés personnelles sont moins détaillées.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A2</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VIe République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Parlement renforcé et nouvelle République compatibles, avec une architecture différente.</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A3</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7/10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Services publics territoriaux et pouvoirs locaux soutenus, mais tradition plus centralisatrice.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A4</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Démocratie citoyenne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Proportionnelle et réforme démocratique convergent largement.</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A5</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Travail &amp; entreprise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10/10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Pouvoir des salariés, salaires et partage de la richesse pleinement compatibles.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A6</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 jeunesse, retraite et services publics très proches.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A7</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Justice fiscale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ISF, progressivité et lutte contre la fraude très compatibles.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A8</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Écologie &amp; industrie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9/10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Souveraineté industrielle, énergie, planification et intervention publique fortement compatibles.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A9</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Numérique &amp; IA</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Souveraineté numérique et maîtrise publique compatibles, avec un corpus moins précis.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A10</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Europe &amp; international</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5/10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Coopération internationale compatible, mais intégration européenne et stratégie géopolitique plus réservées.</w:t>
            </w:r>
          </w:p>
        </w:tc>
      </w:tr>
    </w:tbl>
    <w:p>
      <w:r>
        <w:br w:type="page"/>
      </w:r>
    </w:p>
    <w:p>
      <w:pPr>
        <w:pStyle w:val="Heading2"/>
      </w:pPr>
      <w:r>
        <w:t>6. Gabriel Attal — 55/100</w:t>
      </w:r>
    </w:p>
    <w:p>
      <w:pPr>
        <w:keepLines/>
      </w:pPr>
      <w:r>
        <w:rPr>
          <w:rFonts w:ascii="Calibri" w:hAnsi="Calibri"/>
          <w:b/>
          <w:color w:val="171717"/>
        </w:rPr>
        <w:t xml:space="preserve">Organisation : </w:t>
      </w:r>
      <w:r>
        <w:rPr>
          <w:rFonts w:ascii="Calibri" w:hAnsi="Calibri"/>
          <w:color w:val="171717"/>
        </w:rPr>
        <w:t>Renaissance</w:t>
      </w:r>
    </w:p>
    <w:p>
      <w:pPr>
        <w:keepLines/>
      </w:pPr>
      <w:r>
        <w:rPr>
          <w:rFonts w:ascii="Calibri" w:hAnsi="Calibri"/>
          <w:b/>
          <w:color w:val="171717"/>
        </w:rPr>
        <w:t xml:space="preserve">Solidité documentaire : </w:t>
      </w:r>
      <w:r>
        <w:rPr>
          <w:rFonts w:ascii="Calibri" w:hAnsi="Calibri"/>
          <w:color w:val="171717"/>
        </w:rPr>
        <w:t>Moyenne</w:t>
      </w:r>
    </w:p>
    <w:tbl>
      <w:tblPr>
        <w:tblStyle w:val="TableGrid"/>
        <w:tblW w:type="dxa" w:w="9360"/>
        <w:jc w:val="left"/>
        <w:tblLayout w:type="fixed"/>
        <w:tblLook w:firstColumn="1" w:firstRow="1" w:lastColumn="0" w:lastRow="0" w:noHBand="0" w:noVBand="1" w:val="04A0"/>
        <w:tblInd w:type="dxa" w:w="120"/>
      </w:tblPr>
      <w:tblGrid>
        <w:gridCol w:w="691"/>
        <w:gridCol w:w="2189"/>
        <w:gridCol w:w="835"/>
        <w:gridCol w:w="5645"/>
      </w:tblGrid>
      <w:tr>
        <w:trPr>
          <w:tblHeader w:val="true"/>
          <w:cantSplit/>
        </w:trPr>
        <w:tc>
          <w:tcPr>
            <w:tcW w:type="dxa" w:w="691"/>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Axe</w:t>
            </w:r>
          </w:p>
        </w:tc>
        <w:tc>
          <w:tcPr>
            <w:tcW w:type="dxa" w:w="2189"/>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Thème</w:t>
            </w:r>
          </w:p>
        </w:tc>
        <w:tc>
          <w:tcPr>
            <w:tcW w:type="dxa" w:w="83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Note</w:t>
            </w:r>
          </w:p>
        </w:tc>
        <w:tc>
          <w:tcPr>
            <w:tcW w:type="dxa" w:w="564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Justification</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A1</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Libertés &amp; laïcité</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6/10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Socle de droits compatible, mais ligne plus restrictive sur le cannabis et conception différente de la laïcité.</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A2</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VIe République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3/10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La réforme institutionnelle annoncée conserve un exécutif présidentiel fort et ne rejoint pas le parlementarisme du PRG.</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A3</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7/10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La déparisianisation, le renforcement du pouvoir des maires et les référendums locaux créent une convergence réelle, sans aller jusqu'au régionalisme du PRG.</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A4</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Démocratie citoyenne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6/10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La journée référendaire annuelle et les référendums locaux renforcent la convergence, mais le vote obligatoire, le vote blanc et le droit de vote local des étrangers ne sont pas repris.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A5</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Travail &amp; entreprise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3/10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Partage de la valeur partiellement compatible ; forte divergence sur l'échelle salariale et la gouvernance imposée.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A6</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5/10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Égalité des chances présente, mais logique sociale plus conditionnelle ; les économies annoncées sur le modèle social et la baisse des cotisations l'éloignent des instruments redistributifs du PRG.</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A7</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Justice fiscale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4/10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Lutte contre la fraude compatible ; divergence sur l'ISF et la fiscalité patrimoniale.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A8</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Écologie &amp; industrie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7/10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Décarbonation industrielle, souveraineté et investissement public-privé assez compatibles.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A9</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Numérique &amp; IA</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6/10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Souveraineté numérique européenne et régulation compatibles, sans reprise du modèle public PRG.</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A10</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Europe &amp; international</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Européisme, soutien aux démocraties et autonomie stratégique fortement compatibles.</w:t>
            </w:r>
          </w:p>
        </w:tc>
      </w:tr>
    </w:tbl>
    <w:p>
      <w:r>
        <w:br w:type="page"/>
      </w:r>
    </w:p>
    <w:p>
      <w:pPr>
        <w:pStyle w:val="Heading2"/>
      </w:pPr>
      <w:r>
        <w:t>7. Édouard Philippe — 54/100</w:t>
      </w:r>
    </w:p>
    <w:p>
      <w:pPr>
        <w:keepLines/>
      </w:pPr>
      <w:r>
        <w:rPr>
          <w:rFonts w:ascii="Calibri" w:hAnsi="Calibri"/>
          <w:b/>
          <w:color w:val="171717"/>
        </w:rPr>
        <w:t xml:space="preserve">Organisation : </w:t>
      </w:r>
      <w:r>
        <w:rPr>
          <w:rFonts w:ascii="Calibri" w:hAnsi="Calibri"/>
          <w:color w:val="171717"/>
        </w:rPr>
        <w:t>Horizons</w:t>
      </w:r>
    </w:p>
    <w:p>
      <w:pPr>
        <w:keepLines/>
      </w:pPr>
      <w:r>
        <w:rPr>
          <w:rFonts w:ascii="Calibri" w:hAnsi="Calibri"/>
          <w:b/>
          <w:color w:val="171717"/>
        </w:rPr>
        <w:t xml:space="preserve">Solidité documentaire : </w:t>
      </w:r>
      <w:r>
        <w:rPr>
          <w:rFonts w:ascii="Calibri" w:hAnsi="Calibri"/>
          <w:color w:val="171717"/>
        </w:rPr>
        <w:t>Moyenne</w:t>
      </w:r>
    </w:p>
    <w:tbl>
      <w:tblPr>
        <w:tblStyle w:val="TableGrid"/>
        <w:tblW w:type="dxa" w:w="9360"/>
        <w:jc w:val="left"/>
        <w:tblLayout w:type="fixed"/>
        <w:tblLook w:firstColumn="1" w:firstRow="1" w:lastColumn="0" w:lastRow="0" w:noHBand="0" w:noVBand="1" w:val="04A0"/>
        <w:tblInd w:type="dxa" w:w="120"/>
      </w:tblPr>
      <w:tblGrid>
        <w:gridCol w:w="691"/>
        <w:gridCol w:w="2189"/>
        <w:gridCol w:w="835"/>
        <w:gridCol w:w="5645"/>
      </w:tblGrid>
      <w:tr>
        <w:trPr>
          <w:tblHeader w:val="true"/>
          <w:cantSplit/>
        </w:trPr>
        <w:tc>
          <w:tcPr>
            <w:tcW w:type="dxa" w:w="691"/>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Axe</w:t>
            </w:r>
          </w:p>
        </w:tc>
        <w:tc>
          <w:tcPr>
            <w:tcW w:type="dxa" w:w="2189"/>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Thème</w:t>
            </w:r>
          </w:p>
        </w:tc>
        <w:tc>
          <w:tcPr>
            <w:tcW w:type="dxa" w:w="83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Note</w:t>
            </w:r>
          </w:p>
        </w:tc>
        <w:tc>
          <w:tcPr>
            <w:tcW w:type="dxa" w:w="564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Justification</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A1</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Libertés &amp; laïcité</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6/10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Libertés publiques et droits individuels partiellement compatibles ; cannabis et laïcité institutionnelle divergent.</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A2</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VIe République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3/10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Attachement à la Ve République et à l'exécutif fort incompatible avec la VIe République PRG.</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A3</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 responsabilité locale et différenciation territoriale constituent un point fort de convergence.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A4</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Démocratie citoyenne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6/10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Réformes démocratiques modérées, sans adhésion au paquet électoral PRG.</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A5</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Travail &amp; entreprise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2/10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Divergence nette sur l'échelle des salaires, les dividendes obligatoires et la gouvernance des entreprises.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A6</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5/10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Services essentiels compatibles, mais protection sociale plus ciblée et doctrine moins redistributive.</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A7</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Justice fiscale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4/10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Lutte contre la fraude compatible ; opposition probable à l'ISF et à une forte taxation patrimoniale.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A8</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Écologie &amp; industrie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7/10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Souveraineté industrielle, planification énergétique et investissement productif assez compatibles.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A9</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Numérique &amp; IA</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5/10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Autonomie numérique et régulation compatibles de manière partielle.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A10</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Europe &amp; international</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8/10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Ligne européenne, multilatérale et stratégique fortement compatible.</w:t>
            </w:r>
          </w:p>
        </w:tc>
      </w:tr>
    </w:tbl>
    <w:p>
      <w:r>
        <w:br w:type="page"/>
      </w:r>
    </w:p>
    <w:p>
      <w:pPr>
        <w:pStyle w:val="Heading2"/>
      </w:pPr>
      <w:r>
        <w:t>8. Marine Le Pen — 46/100</w:t>
      </w:r>
    </w:p>
    <w:p>
      <w:pPr>
        <w:keepLines/>
      </w:pPr>
      <w:r>
        <w:rPr>
          <w:rFonts w:ascii="Calibri" w:hAnsi="Calibri"/>
          <w:b/>
          <w:color w:val="171717"/>
        </w:rPr>
        <w:t xml:space="preserve">Organisation : </w:t>
      </w:r>
      <w:r>
        <w:rPr>
          <w:rFonts w:ascii="Calibri" w:hAnsi="Calibri"/>
          <w:color w:val="171717"/>
        </w:rPr>
        <w:t>Rassemblement national</w:t>
      </w:r>
    </w:p>
    <w:p>
      <w:pPr>
        <w:keepLines/>
      </w:pPr>
      <w:r>
        <w:rPr>
          <w:rFonts w:ascii="Calibri" w:hAnsi="Calibri"/>
          <w:b/>
          <w:color w:val="171717"/>
        </w:rPr>
        <w:t xml:space="preserve">Solidité documentaire : </w:t>
      </w:r>
      <w:r>
        <w:rPr>
          <w:rFonts w:ascii="Calibri" w:hAnsi="Calibri"/>
          <w:color w:val="171717"/>
        </w:rPr>
        <w:t>Moyenne à élevée</w:t>
      </w:r>
    </w:p>
    <w:tbl>
      <w:tblPr>
        <w:tblStyle w:val="TableGrid"/>
        <w:tblW w:type="dxa" w:w="9360"/>
        <w:jc w:val="left"/>
        <w:tblLayout w:type="fixed"/>
        <w:tblLook w:firstColumn="1" w:firstRow="1" w:lastColumn="0" w:lastRow="0" w:noHBand="0" w:noVBand="1" w:val="04A0"/>
        <w:tblInd w:type="dxa" w:w="120"/>
      </w:tblPr>
      <w:tblGrid>
        <w:gridCol w:w="691"/>
        <w:gridCol w:w="2189"/>
        <w:gridCol w:w="835"/>
        <w:gridCol w:w="5645"/>
      </w:tblGrid>
      <w:tr>
        <w:trPr>
          <w:tblHeader w:val="true"/>
          <w:cantSplit/>
        </w:trPr>
        <w:tc>
          <w:tcPr>
            <w:tcW w:type="dxa" w:w="691"/>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Axe</w:t>
            </w:r>
          </w:p>
        </w:tc>
        <w:tc>
          <w:tcPr>
            <w:tcW w:type="dxa" w:w="2189"/>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Thème</w:t>
            </w:r>
          </w:p>
        </w:tc>
        <w:tc>
          <w:tcPr>
            <w:tcW w:type="dxa" w:w="83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Note</w:t>
            </w:r>
          </w:p>
        </w:tc>
        <w:tc>
          <w:tcPr>
            <w:tcW w:type="dxa" w:w="564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Justification</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A1</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Libertés &amp; laïcité</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3/10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Divergences majeures sur l'universalisme, les minorités et plusieurs libertés ; quelques convergences ponctuelles sur la laïcité ou le cannabis thérapeutique ne compensent pas.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A2</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VIe République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4/10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Critique des institutions mais absence de convergence avec le parlementarisme décentralisé du PRG.</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A3</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4/10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Discours territorial présent, contredit par une conception très centralisée de l'État-nation.</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A4</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Démocratie citoyenne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4/10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Référendum et proportionnelle offrent des convergences partielles ; droits politiques des étrangers en opposition complète.</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A5</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Travail &amp; entreprise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5/10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Protectionnisme social et participation salariale partiellement compatibles, sans démocratie économique comparable.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A6</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6/10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Mesures de pouvoir d'achat et de protection sociale proches sur certains publics, mais la préférence nationale constitue une divergence structurante avec l'universalisme PRG.</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A7</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Justice fiscale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5/10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Quelques taxes sectorielles et lutte contre la fraude convergent ; fiscalité patrimoniale et redistribution divergent.</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A8</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Écologie &amp; industrie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6/10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Souveraineté industrielle et contrôle des acquisitions compatibles ; écologie et taxe carbone nettement divergentes.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A9</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Numérique &amp; IA</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6/10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Souveraineté des données et contrôle des plateformes peuvent converger, avec une finalité politique différente.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A10</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Europe &amp; international</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3/10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Souverainisme national, rapport à l'Union européenne et proximité historique avec la Russie divergent fortement.</w:t>
            </w:r>
          </w:p>
        </w:tc>
      </w:tr>
    </w:tbl>
    <w:p>
      <w:r>
        <w:br w:type="page"/>
      </w:r>
    </w:p>
    <w:p>
      <w:pPr>
        <w:pStyle w:val="Heading2"/>
      </w:pPr>
      <w:r>
        <w:t>9. Bruno Retailleau — 37/100</w:t>
      </w:r>
    </w:p>
    <w:p>
      <w:pPr>
        <w:keepLines/>
      </w:pPr>
      <w:r>
        <w:rPr>
          <w:rFonts w:ascii="Calibri" w:hAnsi="Calibri"/>
          <w:b/>
          <w:color w:val="171717"/>
        </w:rPr>
        <w:t xml:space="preserve">Organisation : </w:t>
      </w:r>
      <w:r>
        <w:rPr>
          <w:rFonts w:ascii="Calibri" w:hAnsi="Calibri"/>
          <w:color w:val="171717"/>
        </w:rPr>
        <w:t>Les Républicains</w:t>
      </w:r>
    </w:p>
    <w:p>
      <w:pPr>
        <w:keepLines/>
      </w:pPr>
      <w:r>
        <w:rPr>
          <w:rFonts w:ascii="Calibri" w:hAnsi="Calibri"/>
          <w:b/>
          <w:color w:val="171717"/>
        </w:rPr>
        <w:t xml:space="preserve">Solidité documentaire : </w:t>
      </w:r>
      <w:r>
        <w:rPr>
          <w:rFonts w:ascii="Calibri" w:hAnsi="Calibri"/>
          <w:color w:val="171717"/>
        </w:rPr>
        <w:t>Moyenne</w:t>
      </w:r>
    </w:p>
    <w:tbl>
      <w:tblPr>
        <w:tblStyle w:val="TableGrid"/>
        <w:tblW w:type="dxa" w:w="9360"/>
        <w:jc w:val="left"/>
        <w:tblLayout w:type="fixed"/>
        <w:tblLook w:firstColumn="1" w:firstRow="1" w:lastColumn="0" w:lastRow="0" w:noHBand="0" w:noVBand="1" w:val="04A0"/>
        <w:tblInd w:type="dxa" w:w="120"/>
      </w:tblPr>
      <w:tblGrid>
        <w:gridCol w:w="691"/>
        <w:gridCol w:w="2189"/>
        <w:gridCol w:w="835"/>
        <w:gridCol w:w="5645"/>
      </w:tblGrid>
      <w:tr>
        <w:trPr>
          <w:tblHeader w:val="true"/>
          <w:cantSplit/>
        </w:trPr>
        <w:tc>
          <w:tcPr>
            <w:tcW w:type="dxa" w:w="691"/>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Axe</w:t>
            </w:r>
          </w:p>
        </w:tc>
        <w:tc>
          <w:tcPr>
            <w:tcW w:type="dxa" w:w="2189"/>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Thème</w:t>
            </w:r>
          </w:p>
        </w:tc>
        <w:tc>
          <w:tcPr>
            <w:tcW w:type="dxa" w:w="83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Note</w:t>
            </w:r>
          </w:p>
        </w:tc>
        <w:tc>
          <w:tcPr>
            <w:tcW w:type="dxa" w:w="564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Justification</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A1</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Libertés &amp; laïcité</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2/10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Forte divergence sur le cannabis, la fin de vie et plusieurs droits individuels ; accord partiel sur une laïcité exigeante.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A2</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VIe République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2/10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Préférence pour une Ve République d'autorité, opposée au parlementarisme PRG.</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A3</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6/10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 et subsidiarité territoriale offrent une convergence réelle mais limitée.</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A4</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Démocratie citoyenne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3/10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Opposition au droit de vote des étrangers et faible convergence sur le paquet démocratique PRG.</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A5</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Travail &amp; entreprise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2/10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Doctrine économique opposée aux contraintes salariales et de gouvernance proposées.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A6</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4/10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des plus fragiles admise, mais modèle social plus conditionnel et moins universel.</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A7</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Justice fiscale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3/10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Lutte contre la fraude compatible ; divergence nette sur l'ISF, les successions et la progressivité.</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A8</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Écologie &amp; industrie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5/10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Souveraineté industrielle compatible, mais écologie fiscale et intervention publique beaucoup moins.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A9</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Numérique &amp; IA</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5/10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Souveraineté numérique et contrôle régalien partiellement compatibles.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A10</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Europe &amp; international</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5/10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Européisme conservateur et coopération occidentale compatibles en partie ; universalisme et intégration politique plus limités.</w:t>
            </w:r>
          </w:p>
        </w:tc>
      </w:tr>
    </w:tbl>
    <w:p>
      <w:r>
        <w:br w:type="page"/>
      </w:r>
    </w:p>
    <w:p>
      <w:pPr>
        <w:pStyle w:val="Heading2"/>
      </w:pPr>
      <w:r>
        <w:t>10. Éric Zemmour — 24/100</w:t>
      </w:r>
    </w:p>
    <w:p>
      <w:pPr>
        <w:keepLines/>
      </w:pPr>
      <w:r>
        <w:rPr>
          <w:rFonts w:ascii="Calibri" w:hAnsi="Calibri"/>
          <w:b/>
          <w:color w:val="171717"/>
        </w:rPr>
        <w:t xml:space="preserve">Organisation : </w:t>
      </w:r>
      <w:r>
        <w:rPr>
          <w:rFonts w:ascii="Calibri" w:hAnsi="Calibri"/>
          <w:color w:val="171717"/>
        </w:rPr>
        <w:t>Reconquête !</w:t>
      </w:r>
    </w:p>
    <w:p>
      <w:pPr>
        <w:keepLines/>
      </w:pPr>
      <w:r>
        <w:rPr>
          <w:rFonts w:ascii="Calibri" w:hAnsi="Calibri"/>
          <w:b/>
          <w:color w:val="171717"/>
        </w:rPr>
        <w:t xml:space="preserve">Solidité documentaire : </w:t>
      </w:r>
      <w:r>
        <w:rPr>
          <w:rFonts w:ascii="Calibri" w:hAnsi="Calibri"/>
          <w:color w:val="171717"/>
        </w:rPr>
        <w:t>Moyenne à élevée</w:t>
      </w:r>
    </w:p>
    <w:tbl>
      <w:tblPr>
        <w:tblStyle w:val="TableGrid"/>
        <w:tblW w:type="dxa" w:w="9360"/>
        <w:jc w:val="left"/>
        <w:tblLayout w:type="fixed"/>
        <w:tblLook w:firstColumn="1" w:firstRow="1" w:lastColumn="0" w:lastRow="0" w:noHBand="0" w:noVBand="1" w:val="04A0"/>
        <w:tblInd w:type="dxa" w:w="120"/>
      </w:tblPr>
      <w:tblGrid>
        <w:gridCol w:w="691"/>
        <w:gridCol w:w="2189"/>
        <w:gridCol w:w="835"/>
        <w:gridCol w:w="5645"/>
      </w:tblGrid>
      <w:tr>
        <w:trPr>
          <w:tblHeader w:val="true"/>
          <w:cantSplit/>
        </w:trPr>
        <w:tc>
          <w:tcPr>
            <w:tcW w:type="dxa" w:w="691"/>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Axe</w:t>
            </w:r>
          </w:p>
        </w:tc>
        <w:tc>
          <w:tcPr>
            <w:tcW w:type="dxa" w:w="2189"/>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Thème</w:t>
            </w:r>
          </w:p>
        </w:tc>
        <w:tc>
          <w:tcPr>
            <w:tcW w:type="dxa" w:w="83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Note</w:t>
            </w:r>
          </w:p>
        </w:tc>
        <w:tc>
          <w:tcPr>
            <w:tcW w:type="dxa" w:w="5645"/>
            <w:vAlign w:val="center"/>
            <w:shd w:fill="6D39CB"/>
            <w:tcMar>
              <w:top w:w="80" w:type="dxa"/>
              <w:bottom w:w="80" w:type="dxa"/>
              <w:start w:w="120" w:type="dxa"/>
              <w:end w:w="120" w:type="dxa"/>
            </w:tcMar>
          </w:tcPr>
          <w:p>
            <w:pPr>
              <w:spacing w:before="0" w:after="0" w:line="269" w:lineRule="auto"/>
            </w:pPr>
            <w:r>
              <w:rPr>
                <w:rFonts w:ascii="Calibri" w:hAnsi="Calibri"/>
                <w:b/>
                <w:color w:val="FFFFFF"/>
                <w:sz w:val="18"/>
              </w:rPr>
              <w:t>Justification</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A1</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Libertés &amp; laïcité</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1/10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Opposition profonde sur l'égalité, les minorités, le cannabis et plusieurs libertés personnelles.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A2</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VIe République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2/10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Projet d'exécutif renforcé en opposition avec la VIe République parlementaire.</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A3</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Décentralisation</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2/10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Conception centralisée et identitaire de la nation peu compatible avec la décentralisation PRG.</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A4</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Démocratie citoyenne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2/10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Divergence majeure sur les droits politiques, l'universalisme et la démocratie participative.</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A5</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Travail &amp; entreprise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2/10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Doctrine libérale et patronale incompatible avec l'échelle salariale et la codécision.</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A6</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Protection sociale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3/10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Quelques mesures familiales ou sociales ciblées, mais préférence nationale et logique générale opposées.</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A7</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Justice fiscale</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2/10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Opposition à l'ISF et à la redistribution patrimoniale du PRG.</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A8</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Écologie &amp; industrie</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4/10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Souveraineté industrielle partiellement compatible ; écologie fiscale et nationalisation de l'eau divergent.</w:t>
            </w:r>
          </w:p>
        </w:tc>
      </w:tr>
      <w:tr>
        <w:trPr>
          <w:cantSplit/>
        </w:trPr>
        <w:tc>
          <w:tcPr>
            <w:tcW w:type="dxa" w:w="691"/>
            <w:vAlign w:val="center"/>
            <w:tcMar>
              <w:top w:w="80" w:type="dxa"/>
              <w:bottom w:w="80" w:type="dxa"/>
              <w:start w:w="120" w:type="dxa"/>
              <w:end w:w="120" w:type="dxa"/>
            </w:tcMar>
          </w:tcPr>
          <w:p>
            <w:pPr>
              <w:spacing w:before="0" w:after="0" w:line="269" w:lineRule="auto"/>
            </w:pPr>
            <w:r>
              <w:rPr>
                <w:rFonts w:ascii="Calibri" w:hAnsi="Calibri"/>
                <w:color w:val="171717"/>
                <w:sz w:val="17"/>
              </w:rPr>
              <w:t>A9</w:t>
            </w:r>
          </w:p>
        </w:tc>
        <w:tc>
          <w:tcPr>
            <w:tcW w:type="dxa" w:w="2189"/>
            <w:vAlign w:val="center"/>
            <w:tcMar>
              <w:top w:w="80" w:type="dxa"/>
              <w:bottom w:w="80" w:type="dxa"/>
              <w:start w:w="120" w:type="dxa"/>
              <w:end w:w="120" w:type="dxa"/>
            </w:tcMar>
          </w:tcPr>
          <w:p>
            <w:pPr>
              <w:spacing w:before="0" w:after="0" w:line="269" w:lineRule="auto"/>
            </w:pPr>
            <w:r>
              <w:rPr>
                <w:rFonts w:ascii="Calibri" w:hAnsi="Calibri"/>
                <w:color w:val="171717"/>
                <w:sz w:val="17"/>
              </w:rPr>
              <w:t>Numérique &amp; IA</w:t>
            </w:r>
          </w:p>
        </w:tc>
        <w:tc>
          <w:tcPr>
            <w:tcW w:type="dxa" w:w="835"/>
            <w:vAlign w:val="center"/>
            <w:tcMar>
              <w:top w:w="80" w:type="dxa"/>
              <w:bottom w:w="80" w:type="dxa"/>
              <w:start w:w="120" w:type="dxa"/>
              <w:end w:w="120" w:type="dxa"/>
            </w:tcMar>
          </w:tcPr>
          <w:p>
            <w:pPr>
              <w:spacing w:before="0" w:after="0" w:line="269" w:lineRule="auto"/>
            </w:pPr>
            <w:r>
              <w:rPr>
                <w:rFonts w:ascii="Calibri" w:hAnsi="Calibri"/>
                <w:color w:val="171717"/>
                <w:sz w:val="17"/>
              </w:rPr>
              <w:t>4/10</w:t>
            </w:r>
          </w:p>
        </w:tc>
        <w:tc>
          <w:tcPr>
            <w:tcW w:type="dxa" w:w="5645"/>
            <w:vAlign w:val="center"/>
            <w:tcMar>
              <w:top w:w="80" w:type="dxa"/>
              <w:bottom w:w="80" w:type="dxa"/>
              <w:start w:w="120" w:type="dxa"/>
              <w:end w:w="120" w:type="dxa"/>
            </w:tcMar>
          </w:tcPr>
          <w:p>
            <w:pPr>
              <w:spacing w:before="0" w:after="0" w:line="269" w:lineRule="auto"/>
            </w:pPr>
            <w:r>
              <w:rPr>
                <w:rFonts w:ascii="Calibri" w:hAnsi="Calibri"/>
                <w:color w:val="171717"/>
                <w:sz w:val="17"/>
              </w:rPr>
              <w:t>Souveraineté numérique et contrôle des plateformes offrent quelques convergences instrumentales.</w:t>
            </w:r>
          </w:p>
        </w:tc>
      </w:tr>
      <w:tr>
        <w:trPr>
          <w:cantSplit/>
        </w:trPr>
        <w:tc>
          <w:tcPr>
            <w:tcW w:type="dxa" w:w="691"/>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A10</w:t>
            </w:r>
          </w:p>
        </w:tc>
        <w:tc>
          <w:tcPr>
            <w:tcW w:type="dxa" w:w="2189"/>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Europe &amp; international</w:t>
            </w:r>
          </w:p>
        </w:tc>
        <w:tc>
          <w:tcPr>
            <w:tcW w:type="dxa" w:w="83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2/10</w:t>
            </w:r>
          </w:p>
        </w:tc>
        <w:tc>
          <w:tcPr>
            <w:tcW w:type="dxa" w:w="5645"/>
            <w:vAlign w:val="center"/>
            <w:shd w:fill="F7F5FA"/>
            <w:tcMar>
              <w:top w:w="80" w:type="dxa"/>
              <w:bottom w:w="80" w:type="dxa"/>
              <w:start w:w="120" w:type="dxa"/>
              <w:end w:w="120" w:type="dxa"/>
            </w:tcMar>
          </w:tcPr>
          <w:p>
            <w:pPr>
              <w:spacing w:before="0" w:after="0" w:line="269" w:lineRule="auto"/>
            </w:pPr>
            <w:r>
              <w:rPr>
                <w:rFonts w:ascii="Calibri" w:hAnsi="Calibri"/>
                <w:color w:val="171717"/>
                <w:sz w:val="17"/>
              </w:rPr>
              <w:t>Nationalisme, rapport à l'Europe et restriction des droits des étrangers sont en opposition nette.</w:t>
            </w:r>
          </w:p>
        </w:tc>
      </w:tr>
    </w:tbl>
    <w:p>
      <w:r>
        <w:br w:type="page"/>
      </w:r>
    </w:p>
    <w:p>
      <w:pPr>
        <w:pStyle w:val="Heading1"/>
      </w:pPr>
      <w:r>
        <w:t>Sources</w:t>
      </w:r>
    </w:p>
    <w:p>
      <w:pPr>
        <w:pStyle w:val="Heading2"/>
      </w:pPr>
      <w:r>
        <w:t>Référentiel PRG</w:t>
      </w:r>
    </w:p>
    <w:p>
      <w:pPr>
        <w:spacing w:after="100"/>
      </w:pPr>
      <w:hyperlink r:id="rId12">
        <w:r>
          <w:rPr>
            <w:color w:val="6D39CB"/>
            <w:u w:val="single"/>
          </w:rPr>
          <w:t>Projet national — 42 propositions</w:t>
        </w:r>
      </w:hyperlink>
      <w:r>
        <w:rPr>
          <w:rFonts w:ascii="Calibri" w:hAnsi="Calibri"/>
          <w:color w:val="66616F"/>
          <w:sz w:val="18"/>
        </w:rPr>
        <w:t xml:space="preserve"> — https://www.partiradicaldegauche.fr/wp-content/uploads/2022/05/V6-Apre%CC%80s-la-crise-du-Covid19-Pour-des-lendemains-qui-changent-.pdf</w:t>
      </w:r>
    </w:p>
    <w:p>
      <w:pPr>
        <w:spacing w:after="100"/>
      </w:pPr>
      <w:hyperlink r:id="rId13">
        <w:r>
          <w:rPr>
            <w:color w:val="6D39CB"/>
            <w:u w:val="single"/>
          </w:rPr>
          <w:t>Présentation officielle des 42 propositions</w:t>
        </w:r>
      </w:hyperlink>
      <w:r>
        <w:rPr>
          <w:rFonts w:ascii="Calibri" w:hAnsi="Calibri"/>
          <w:color w:val="66616F"/>
          <w:sz w:val="18"/>
        </w:rPr>
        <w:t xml:space="preserve"> — https://www.partiradicaldegauche.fr/nos-42-propositions/</w:t>
      </w:r>
    </w:p>
    <w:p>
      <w:pPr>
        <w:spacing w:after="100"/>
      </w:pPr>
      <w:hyperlink r:id="rId14">
        <w:r>
          <w:rPr>
            <w:color w:val="6D39CB"/>
            <w:u w:val="single"/>
          </w:rPr>
          <w:t>Statuts et identité politique du PRG</w:t>
        </w:r>
      </w:hyperlink>
      <w:r>
        <w:rPr>
          <w:rFonts w:ascii="Calibri" w:hAnsi="Calibri"/>
          <w:color w:val="66616F"/>
          <w:sz w:val="18"/>
        </w:rPr>
        <w:t xml:space="preserve"> — https://www.partiradicaldegauche.fr/nos-statuts/</w:t>
      </w:r>
    </w:p>
    <w:p>
      <w:pPr>
        <w:pStyle w:val="Heading2"/>
      </w:pPr>
      <w:r>
        <w:t>Corpus des candidatures</w:t>
      </w:r>
    </w:p>
    <w:p>
      <w:pPr>
        <w:spacing w:after="100"/>
      </w:pPr>
      <w:hyperlink r:id="rId15">
        <w:r>
          <w:rPr>
            <w:color w:val="6D39CB"/>
            <w:u w:val="single"/>
          </w:rPr>
          <w:t>Les Écologistes — nouveau programme, juillet 2026</w:t>
        </w:r>
      </w:hyperlink>
      <w:r>
        <w:rPr>
          <w:rFonts w:ascii="Calibri" w:hAnsi="Calibri"/>
          <w:color w:val="66616F"/>
          <w:sz w:val="18"/>
        </w:rPr>
        <w:t xml:space="preserve"> — https://lesecologistes.fr/document/5ZhR2m5t2ZaGKqIdD1bJaD/vdef-programme-1.pdf</w:t>
      </w:r>
    </w:p>
    <w:p>
      <w:pPr>
        <w:spacing w:after="100"/>
      </w:pPr>
      <w:hyperlink r:id="rId16">
        <w:r>
          <w:rPr>
            <w:color w:val="6D39CB"/>
            <w:u w:val="single"/>
          </w:rPr>
          <w:t>Place publique — Acte un</w:t>
        </w:r>
      </w:hyperlink>
      <w:r>
        <w:rPr>
          <w:rFonts w:ascii="Calibri" w:hAnsi="Calibri"/>
          <w:color w:val="66616F"/>
          <w:sz w:val="18"/>
        </w:rPr>
        <w:t xml:space="preserve"> — https://place-publique.eu/document/3Ari5O0s5O1L4iK1uyUhI0/pp-acte-un.pdf</w:t>
      </w:r>
    </w:p>
    <w:p>
      <w:pPr>
        <w:spacing w:after="100"/>
      </w:pPr>
      <w:hyperlink r:id="rId17">
        <w:r>
          <w:rPr>
            <w:color w:val="6D39CB"/>
            <w:u w:val="single"/>
          </w:rPr>
          <w:t>François Ruffin — propositions et prises de position</w:t>
        </w:r>
      </w:hyperlink>
      <w:r>
        <w:rPr>
          <w:rFonts w:ascii="Calibri" w:hAnsi="Calibri"/>
          <w:color w:val="66616F"/>
          <w:sz w:val="18"/>
        </w:rPr>
        <w:t xml:space="preserve"> — https://francoisruffin.fr/</w:t>
      </w:r>
    </w:p>
    <w:p>
      <w:pPr>
        <w:spacing w:after="100"/>
      </w:pPr>
      <w:hyperlink r:id="rId18">
        <w:r>
          <w:rPr>
            <w:color w:val="6D39CB"/>
            <w:u w:val="single"/>
          </w:rPr>
          <w:t>La France insoumise — L'Avenir en commun, édition 2025</w:t>
        </w:r>
      </w:hyperlink>
      <w:r>
        <w:rPr>
          <w:rFonts w:ascii="Calibri" w:hAnsi="Calibri"/>
          <w:color w:val="66616F"/>
          <w:sz w:val="18"/>
        </w:rPr>
        <w:t xml:space="preserve"> — https://programme.lafranceinsoumise.fr/</w:t>
      </w:r>
    </w:p>
    <w:p>
      <w:pPr>
        <w:spacing w:after="100"/>
      </w:pPr>
      <w:hyperlink r:id="rId19">
        <w:r>
          <w:rPr>
            <w:color w:val="6D39CB"/>
            <w:u w:val="single"/>
          </w:rPr>
          <w:t>Parti communiste français — congrès 2026 et corpus programmatique</w:t>
        </w:r>
      </w:hyperlink>
      <w:r>
        <w:rPr>
          <w:rFonts w:ascii="Calibri" w:hAnsi="Calibri"/>
          <w:color w:val="66616F"/>
          <w:sz w:val="18"/>
        </w:rPr>
        <w:t xml:space="preserve"> — https://culture.pcf.fr/sites/default/files/brochure_congres_2026_complete.pdf</w:t>
      </w:r>
    </w:p>
    <w:p>
      <w:pPr>
        <w:spacing w:after="100"/>
      </w:pPr>
      <w:hyperlink r:id="rId20">
        <w:r>
          <w:rPr>
            <w:color w:val="6D39CB"/>
            <w:u w:val="single"/>
          </w:rPr>
          <w:t>Gabriel Attal — campagne présidentielle 2027</w:t>
        </w:r>
      </w:hyperlink>
      <w:r>
        <w:rPr>
          <w:rFonts w:ascii="Calibri" w:hAnsi="Calibri"/>
          <w:color w:val="66616F"/>
          <w:sz w:val="18"/>
        </w:rPr>
        <w:t xml:space="preserve"> — https://attalpresident.fr/</w:t>
      </w:r>
    </w:p>
    <w:p>
      <w:pPr>
        <w:spacing w:after="100"/>
      </w:pPr>
      <w:hyperlink r:id="rId21">
        <w:r>
          <w:rPr>
            <w:color w:val="6D39CB"/>
            <w:u w:val="single"/>
          </w:rPr>
          <w:t>Horizons — manifeste et publications</w:t>
        </w:r>
      </w:hyperlink>
      <w:r>
        <w:rPr>
          <w:rFonts w:ascii="Calibri" w:hAnsi="Calibri"/>
          <w:color w:val="66616F"/>
          <w:sz w:val="18"/>
        </w:rPr>
        <w:t xml:space="preserve"> — https://horizonsleparti.fr/</w:t>
      </w:r>
    </w:p>
    <w:p>
      <w:pPr>
        <w:spacing w:after="100"/>
      </w:pPr>
      <w:hyperlink r:id="rId22">
        <w:r>
          <w:rPr>
            <w:color w:val="6D39CB"/>
            <w:u w:val="single"/>
          </w:rPr>
          <w:t>Rassemblement national — programme législatif 2024 et projet 2022</w:t>
        </w:r>
      </w:hyperlink>
      <w:r>
        <w:rPr>
          <w:rFonts w:ascii="Calibri" w:hAnsi="Calibri"/>
          <w:color w:val="66616F"/>
          <w:sz w:val="18"/>
        </w:rPr>
        <w:t xml:space="preserve"> — https://rassemblementnational.fr/documents/202406-programme.pdf</w:t>
      </w:r>
    </w:p>
    <w:p>
      <w:pPr>
        <w:spacing w:after="100"/>
      </w:pPr>
      <w:hyperlink r:id="rId23">
        <w:r>
          <w:rPr>
            <w:color w:val="6D39CB"/>
            <w:u w:val="single"/>
          </w:rPr>
          <w:t>Bruno Retailleau — candidature et propositions 2027</w:t>
        </w:r>
      </w:hyperlink>
      <w:r>
        <w:rPr>
          <w:rFonts w:ascii="Calibri" w:hAnsi="Calibri"/>
          <w:color w:val="66616F"/>
          <w:sz w:val="18"/>
        </w:rPr>
        <w:t xml:space="preserve"> — https://republicains.fr/actualites/2026/04/20/bruno-retailleau-largement-designe-comme-candidat-des-republicains-pour-lelection-presidentielle/</w:t>
      </w:r>
    </w:p>
    <w:p>
      <w:pPr>
        <w:spacing w:after="100"/>
      </w:pPr>
      <w:hyperlink r:id="rId24">
        <w:r>
          <w:rPr>
            <w:color w:val="6D39CB"/>
            <w:u w:val="single"/>
          </w:rPr>
          <w:t>Éric Zemmour — programme présidentiel 2022</w:t>
        </w:r>
      </w:hyperlink>
      <w:r>
        <w:rPr>
          <w:rFonts w:ascii="Calibri" w:hAnsi="Calibri"/>
          <w:color w:val="66616F"/>
          <w:sz w:val="18"/>
        </w:rPr>
        <w:t xml:space="preserve"> — https://programme.ericzemmour.fr/</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Calibri" w:hAnsi="Calibri"/>
        <w:color w:val="66616F"/>
        <w:sz w:val="18"/>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66616F"/>
        <w:sz w:val="18"/>
      </w:rPr>
      <w:t>Analyse/27 — Référentiel PRG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7171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6D39CB"/>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6D39CB"/>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7171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partiradicaldegauche.fr/wp-content/uploads/2022/05/V6-Apre%CC%80s-la-crise-du-Covid19-Pour-des-lendemains-qui-changent-.pdf" TargetMode="External"/><Relationship Id="rId13" Type="http://schemas.openxmlformats.org/officeDocument/2006/relationships/hyperlink" Target="https://www.partiradicaldegauche.fr/nos-42-propositions/" TargetMode="External"/><Relationship Id="rId14" Type="http://schemas.openxmlformats.org/officeDocument/2006/relationships/hyperlink" Target="https://www.partiradicaldegauche.fr/nos-statuts/" TargetMode="External"/><Relationship Id="rId15" Type="http://schemas.openxmlformats.org/officeDocument/2006/relationships/hyperlink" Target="https://lesecologistes.fr/document/5ZhR2m5t2ZaGKqIdD1bJaD/vdef-programme-1.pdf" TargetMode="External"/><Relationship Id="rId16" Type="http://schemas.openxmlformats.org/officeDocument/2006/relationships/hyperlink" Target="https://place-publique.eu/document/3Ari5O0s5O1L4iK1uyUhI0/pp-acte-un.pdf" TargetMode="External"/><Relationship Id="rId17" Type="http://schemas.openxmlformats.org/officeDocument/2006/relationships/hyperlink" Target="https://francoisruffin.fr/" TargetMode="External"/><Relationship Id="rId18" Type="http://schemas.openxmlformats.org/officeDocument/2006/relationships/hyperlink" Target="https://programme.lafranceinsoumise.fr/" TargetMode="External"/><Relationship Id="rId19" Type="http://schemas.openxmlformats.org/officeDocument/2006/relationships/hyperlink" Target="https://culture.pcf.fr/sites/default/files/brochure_congres_2026_complete.pdf" TargetMode="External"/><Relationship Id="rId20" Type="http://schemas.openxmlformats.org/officeDocument/2006/relationships/hyperlink" Target="https://attalpresident.fr/" TargetMode="External"/><Relationship Id="rId21" Type="http://schemas.openxmlformats.org/officeDocument/2006/relationships/hyperlink" Target="https://horizonsleparti.fr/" TargetMode="External"/><Relationship Id="rId22" Type="http://schemas.openxmlformats.org/officeDocument/2006/relationships/hyperlink" Target="https://rassemblementnational.fr/documents/202406-programme.pdf" TargetMode="External"/><Relationship Id="rId23" Type="http://schemas.openxmlformats.org/officeDocument/2006/relationships/hyperlink" Target="https://republicains.fr/actualites/2026/04/20/bruno-retailleau-largement-designe-comme-candidat-des-republicains-pour-lelection-presidentielle/" TargetMode="External"/><Relationship Id="rId24" Type="http://schemas.openxmlformats.org/officeDocument/2006/relationships/hyperlink" Target="https://programme.ericzemmour.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Compatibilité programmatique — Présidentielle 2027</dc:subject>
  <dc:creator>Analyse/27</dc:creator>
  <cp:keywords>présidentielle 2027, compatibilité programmatique</cp:keywords>
  <dc:description>generated by python-docx</dc:description>
  <cp:lastModifiedBy/>
  <cp:revision>1</cp:revision>
  <dcterms:created xsi:type="dcterms:W3CDTF">2013-12-23T23:15:00Z</dcterms:created>
  <dcterms:modified xsi:type="dcterms:W3CDTF">2013-12-23T23:15:00Z</dcterms:modified>
  <cp:category/>
</cp:coreProperties>
</file>