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8A7100"/>
          <w:sz w:val="15"/>
        </w:rPr>
        <w:t>PRÉSIDENTIELLE 2027</w:t>
      </w:r>
    </w:p>
    <w:p>
      <w:pPr>
        <w:spacing w:after="60"/>
      </w:pPr>
      <w:r>
        <w:rPr>
          <w:rFonts w:ascii="Arial" w:hAnsi="Arial"/>
          <w:b/>
          <w:color w:val="171918"/>
          <w:sz w:val="56"/>
        </w:rPr>
        <w:t>Compatibilité</w:t>
        <w:br/>
        <w:t>programmatique</w:t>
      </w:r>
    </w:p>
    <w:p>
      <w:pPr>
        <w:spacing w:after="120"/>
      </w:pPr>
      <w:r>
        <w:rPr>
          <w:rFonts w:ascii="Arial" w:hAnsi="Arial"/>
          <w:color w:val="6C6A66"/>
          <w:sz w:val="24"/>
        </w:rPr>
        <w:t>des principales candidatures avec le référentiel d’Équinoxe</w:t>
      </w:r>
    </w:p>
    <w:p>
      <w:pPr>
        <w:spacing w:after="140"/>
      </w:pPr>
      <w:r>
        <w:rPr>
          <w:rFonts w:ascii="Arial" w:hAnsi="Arial"/>
          <w:b/>
          <w:color w:val="8A7100"/>
          <w:sz w:val="17"/>
        </w:rPr>
        <w:t>10 candidats  ·  10 axes notés directement sur 10  ·  100 points</w:t>
      </w:r>
    </w:p>
    <w:p>
      <w:pPr>
        <w:spacing w:after="100"/>
        <w:jc w:val="center"/>
      </w:pPr>
      <w:r>
        <w:drawing>
          <wp:inline xmlns:a="http://schemas.openxmlformats.org/drawingml/2006/main" xmlns:pic="http://schemas.openxmlformats.org/drawingml/2006/picture">
            <wp:extent cx="5760720" cy="43205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5760720" cy="432054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8F3E9"/>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Analyse indépendante</w:t>
            </w:r>
          </w:p>
          <w:p>
            <w:pPr>
              <w:spacing w:after="0"/>
            </w:pPr>
            <w:r>
              <w:rPr>
                <w:rFonts w:ascii="Arial" w:hAnsi="Arial"/>
                <w:color w:val="171918"/>
                <w:sz w:val="16"/>
              </w:rPr>
              <w:t>Photographie documentaire arrêtée au 29 juillet 2026. Version du 30 juillet 2026. Le score mesure une proximité avec le référentiel retenu ; il n’évalue pas globalement les personnes. Ce document n’est ni une publication officielle d’Équinoxe ni une consigne de vote.</w:t>
            </w:r>
          </w:p>
        </w:tc>
      </w:tr>
    </w:tbl>
    <w:p>
      <w:pPr>
        <w:spacing w:after="0" w:before="0"/>
      </w:pPr>
    </w:p>
    <w:p>
      <w:r>
        <w:br w:type="page"/>
      </w:r>
    </w:p>
    <w:p>
      <w:pPr>
        <w:spacing w:before="0" w:after="40"/>
      </w:pPr>
      <w:r>
        <w:rPr>
          <w:rFonts w:ascii="Arial" w:hAnsi="Arial"/>
          <w:b/>
          <w:color w:val="8A7100"/>
          <w:sz w:val="15"/>
        </w:rPr>
        <w:t>VUE D’ENSEMBLE</w:t>
      </w:r>
    </w:p>
    <w:p>
      <w:pPr>
        <w:pStyle w:val="Title"/>
        <w:spacing w:after="100"/>
        <w:pBdr>
          <w:bottom w:val="single" w:sz="8" w:space="3" w:color="FFD412"/>
        </w:pBdr>
      </w:pPr>
      <w:r>
        <w:rPr>
          <w:rFonts w:ascii="Arial" w:hAnsi="Arial"/>
          <w:b/>
          <w:color w:val="171918"/>
          <w:sz w:val="52"/>
        </w:rPr>
        <w:t>Résultats en un coup d’œil</w:t>
      </w:r>
    </w:p>
    <w:p>
      <w:pPr>
        <w:spacing w:after="140"/>
      </w:pPr>
      <w:r>
        <w:rPr>
          <w:rFonts w:ascii="Arial" w:hAnsi="Arial"/>
          <w:color w:val="6C6A66"/>
          <w:sz w:val="19"/>
        </w:rPr>
        <w:t>Classement issu de l’addition des dix notes argumentées, sans pondération cachée.</w:t>
      </w:r>
    </w:p>
    <w:p>
      <w:pPr>
        <w:spacing w:after="0"/>
        <w:jc w:val="center"/>
      </w:pPr>
      <w:r>
        <w:drawing>
          <wp:inline xmlns:a="http://schemas.openxmlformats.org/drawingml/2006/main" xmlns:pic="http://schemas.openxmlformats.org/drawingml/2006/picture">
            <wp:extent cx="4114800" cy="7315200"/>
            <wp:docPr id="2" name="Picture 2"/>
            <wp:cNvGraphicFramePr>
              <a:graphicFrameLocks noChangeAspect="1"/>
            </wp:cNvGraphicFramePr>
            <a:graphic>
              <a:graphicData uri="http://schemas.openxmlformats.org/drawingml/2006/picture">
                <pic:pic>
                  <pic:nvPicPr>
                    <pic:cNvPr id="0" name="ranking.png"/>
                    <pic:cNvPicPr/>
                  </pic:nvPicPr>
                  <pic:blipFill>
                    <a:blip r:embed="rId12"/>
                    <a:stretch>
                      <a:fillRect/>
                    </a:stretch>
                  </pic:blipFill>
                  <pic:spPr>
                    <a:xfrm>
                      <a:off x="0" y="0"/>
                      <a:ext cx="4114800" cy="7315200"/>
                    </a:xfrm>
                    <a:prstGeom prst="rect"/>
                  </pic:spPr>
                </pic:pic>
              </a:graphicData>
            </a:graphic>
          </wp:inline>
        </w:drawing>
      </w:r>
    </w:p>
    <w:p>
      <w:r>
        <w:br w:type="page"/>
      </w:r>
    </w:p>
    <w:p>
      <w:pPr>
        <w:spacing w:before="0" w:after="40"/>
      </w:pPr>
      <w:r>
        <w:rPr>
          <w:rFonts w:ascii="Arial" w:hAnsi="Arial"/>
          <w:b/>
          <w:color w:val="8A7100"/>
          <w:sz w:val="15"/>
        </w:rPr>
        <w:t>MÉTHODE</w:t>
      </w:r>
    </w:p>
    <w:p>
      <w:pPr>
        <w:pStyle w:val="Title"/>
        <w:spacing w:after="100"/>
        <w:pBdr>
          <w:bottom w:val="single" w:sz="8" w:space="3" w:color="FFD412"/>
        </w:pBdr>
      </w:pPr>
      <w:r>
        <w:rPr>
          <w:rFonts w:ascii="Arial" w:hAnsi="Arial"/>
          <w:b/>
          <w:color w:val="171918"/>
          <w:sz w:val="52"/>
        </w:rPr>
        <w:t>Comment les notes sont construites</w:t>
      </w:r>
    </w:p>
    <w:p>
      <w:pPr>
        <w:spacing w:after="140"/>
      </w:pPr>
      <w:r>
        <w:rPr>
          <w:rFonts w:ascii="Arial" w:hAnsi="Arial"/>
          <w:color w:val="6C6A66"/>
          <w:sz w:val="19"/>
        </w:rPr>
        <w:t>Les dix axes reprennent les lignes structurantes publiées par Équinoxe : sobriété carbone, combinaison nucléaire-renouvelables, mobilités, agriculture, industrie, services publics, démocratie, numérique, cohésion et Europe-défense-Ukraine.</w:t>
      </w:r>
    </w:p>
    <w:tbl>
      <w:tblPr>
        <w:tblW w:type="dxa" w:w="9240"/>
        <w:tblLayout w:type="fixed"/>
        <w:tblLook w:firstColumn="1" w:firstRow="1" w:lastColumn="0" w:lastRow="0" w:noHBand="0" w:noVBand="1" w:val="04A0"/>
        <w:tblInd w:w="120" w:type="dxa"/>
      </w:tblPr>
      <w:tblGrid>
        <w:gridCol w:w="1320"/>
        <w:gridCol w:w="7920"/>
      </w:tblGrid>
      <w:tr>
        <w:trPr>
          <w:tblHeader w:val="true"/>
        </w:trPr>
        <w:tc>
          <w:tcPr>
            <w:tcW w:type="dxa" w:w="1320"/>
            <w:shd w:fill="171918"/>
            <w:tcMar>
              <w:top w:w="70" w:type="dxa"/>
              <w:start w:w="120" w:type="dxa"/>
              <w:bottom w:w="70" w:type="dxa"/>
              <w:end w:w="120" w:type="dxa"/>
            </w:tcMar>
            <w:vAlign w:val="center"/>
          </w:tcPr>
          <w:p>
            <w:pPr>
              <w:jc w:val="center"/>
            </w:pPr>
            <w:r>
              <w:rPr>
                <w:rFonts w:ascii="Arial" w:hAnsi="Arial"/>
                <w:b/>
                <w:color w:val="FFFFFF"/>
                <w:sz w:val="17"/>
              </w:rPr>
              <w:t>Note</w:t>
            </w:r>
          </w:p>
        </w:tc>
        <w:tc>
          <w:tcPr>
            <w:tcW w:type="dxa" w:w="7920"/>
            <w:shd w:fill="171918"/>
            <w:tcMar>
              <w:top w:w="70" w:type="dxa"/>
              <w:start w:w="120" w:type="dxa"/>
              <w:bottom w:w="70" w:type="dxa"/>
              <w:end w:w="120" w:type="dxa"/>
            </w:tcMar>
            <w:vAlign w:val="center"/>
          </w:tcPr>
          <w:p>
            <w:pPr>
              <w:jc w:val="left"/>
            </w:pPr>
            <w:r>
              <w:rPr>
                <w:rFonts w:ascii="Arial" w:hAnsi="Arial"/>
                <w:b/>
                <w:color w:val="FFFFFF"/>
                <w:sz w:val="17"/>
              </w:rPr>
              <w:t>Interprétation</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Opposition complète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1–2</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Très faible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E65117"/>
                <w:sz w:val="17"/>
              </w:rPr>
              <w:t>3–4</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incompatible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5</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Bilan réellement mixte</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6–7</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719A39"/>
                <w:sz w:val="17"/>
              </w:rPr>
              <w:t>8–9</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Forte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2E8B57"/>
                <w:sz w:val="17"/>
              </w:rPr>
              <w:t>10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Compatibilité complète</w:t>
            </w:r>
          </w:p>
        </w:tc>
      </w:tr>
    </w:tbl>
    <w:p>
      <w:pPr>
        <w:spacing w:after="20"/>
      </w:pPr>
    </w:p>
    <w:tbl>
      <w:tblPr>
        <w:tblW w:type="dxa" w:w="9240"/>
        <w:tblLayout w:type="fixed"/>
        <w:tblLook w:firstColumn="1" w:firstRow="1" w:lastColumn="0" w:lastRow="0" w:noHBand="0" w:noVBand="1" w:val="04A0"/>
        <w:tblInd w:w="120" w:type="dxa"/>
      </w:tblPr>
      <w:tblGrid>
        <w:gridCol w:w="9240"/>
      </w:tblGrid>
      <w:tr>
        <w:tc>
          <w:tcPr>
            <w:tcW w:type="dxa" w:w="9240"/>
            <w:shd w:fill="FFF8D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Calcul</w:t>
            </w:r>
          </w:p>
          <w:p>
            <w:pPr>
              <w:spacing w:after="0"/>
            </w:pPr>
            <w:r>
              <w:rPr>
                <w:rFonts w:ascii="Arial" w:hAnsi="Arial"/>
                <w:color w:val="171918"/>
                <w:sz w:val="16"/>
              </w:rPr>
              <w:t>Chaque axe reçoit directement une note entière de 0 à 10. Les dix axes ont le même poids ; leur somme donne le total sur 100. Un écart de 1 ou 2 points ne doit pas être interprété comme une différence décisive.</w:t>
            </w:r>
          </w:p>
        </w:tc>
      </w:tr>
    </w:tbl>
    <w:p>
      <w:pPr>
        <w:spacing w:after="0" w:before="0"/>
      </w:pPr>
    </w:p>
    <w:tbl>
      <w:tblPr>
        <w:tblW w:type="dxa" w:w="9240"/>
        <w:tblLayout w:type="fixed"/>
        <w:tblLook w:firstColumn="1" w:firstRow="1" w:lastColumn="0" w:lastRow="0" w:noHBand="0" w:noVBand="1" w:val="04A0"/>
        <w:tblInd w:w="120" w:type="dxa"/>
      </w:tblPr>
      <w:tblGrid>
        <w:gridCol w:w="9240"/>
      </w:tblGrid>
      <w:tr>
        <w:tc>
          <w:tcPr>
            <w:tcW w:type="dxa" w:w="9240"/>
            <w:shd w:fill="EAF6F0"/>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Robustesse documentaire séparée du score</w:t>
            </w:r>
          </w:p>
          <w:p>
            <w:pPr>
              <w:spacing w:after="0"/>
            </w:pPr>
            <w:r>
              <w:rPr>
                <w:rFonts w:ascii="Arial" w:hAnsi="Arial"/>
                <w:color w:val="171918"/>
                <w:sz w:val="16"/>
              </w:rPr>
              <w:t>Une documentation incomplète n’est ni assimilée à une opposition ni convertie mécaniquement en 5/10. Elle limite la note possible et est signalée séparément.</w:t>
            </w:r>
          </w:p>
        </w:tc>
      </w:tr>
    </w:tbl>
    <w:p>
      <w:pPr>
        <w:spacing w:after="0" w:before="0"/>
      </w:pPr>
    </w:p>
    <w:p>
      <w:r>
        <w:br w:type="page"/>
      </w:r>
    </w:p>
    <w:p>
      <w:pPr>
        <w:spacing w:before="0" w:after="40"/>
      </w:pPr>
      <w:r>
        <w:rPr>
          <w:rFonts w:ascii="Arial" w:hAnsi="Arial"/>
          <w:b/>
          <w:color w:val="8A7100"/>
          <w:sz w:val="15"/>
        </w:rPr>
        <w:t>RÉFÉRENTIEL</w:t>
      </w:r>
    </w:p>
    <w:p>
      <w:pPr>
        <w:pStyle w:val="Title"/>
        <w:spacing w:after="100"/>
        <w:pBdr>
          <w:bottom w:val="single" w:sz="8" w:space="3" w:color="FFD412"/>
        </w:pBdr>
      </w:pPr>
      <w:r>
        <w:rPr>
          <w:rFonts w:ascii="Arial" w:hAnsi="Arial"/>
          <w:b/>
          <w:color w:val="171918"/>
          <w:sz w:val="52"/>
        </w:rPr>
        <w:t>Les dix axes Équinoxe</w:t>
      </w:r>
    </w:p>
    <w:p>
      <w:pPr>
        <w:spacing w:after="140"/>
      </w:pPr>
      <w:r>
        <w:rPr>
          <w:rFonts w:ascii="Arial" w:hAnsi="Arial"/>
          <w:color w:val="6C6A66"/>
          <w:sz w:val="19"/>
        </w:rPr>
        <w:t>Chaque axe est apprécié globalement sur 10 et reçoit le même poids.</w:t>
      </w:r>
    </w:p>
    <w:tbl>
      <w:tblPr>
        <w:tblW w:type="dxa" w:w="9240"/>
        <w:tblLayout w:type="fixed"/>
        <w:tblLook w:firstColumn="1" w:firstRow="1" w:lastColumn="0" w:lastRow="0" w:noHBand="0" w:noVBand="1" w:val="04A0"/>
        <w:tblInd w:w="120" w:type="dxa"/>
      </w:tblPr>
      <w:tblGrid>
        <w:gridCol w:w="600"/>
        <w:gridCol w:w="3000"/>
        <w:gridCol w:w="5640"/>
      </w:tblGrid>
      <w:tr>
        <w:trPr>
          <w:tblHeader w:val="true"/>
        </w:trPr>
        <w:tc>
          <w:tcPr>
            <w:tcW w:type="dxa" w:w="600"/>
            <w:shd w:fill="171918"/>
            <w:tcMar>
              <w:top w:w="75" w:type="dxa"/>
              <w:start w:w="120" w:type="dxa"/>
              <w:bottom w:w="75" w:type="dxa"/>
              <w:end w:w="120" w:type="dxa"/>
            </w:tcMar>
            <w:vAlign w:val="center"/>
          </w:tcPr>
          <w:p>
            <w:pPr>
              <w:jc w:val="center"/>
            </w:pPr>
            <w:r>
              <w:rPr>
                <w:rFonts w:ascii="Arial" w:hAnsi="Arial"/>
                <w:b/>
                <w:color w:val="FFFFFF"/>
                <w:sz w:val="16"/>
              </w:rPr>
              <w:t>#</w:t>
            </w:r>
          </w:p>
        </w:tc>
        <w:tc>
          <w:tcPr>
            <w:tcW w:type="dxa" w:w="3000"/>
            <w:shd w:fill="171918"/>
            <w:tcMar>
              <w:top w:w="75" w:type="dxa"/>
              <w:start w:w="120" w:type="dxa"/>
              <w:bottom w:w="75" w:type="dxa"/>
              <w:end w:w="120" w:type="dxa"/>
            </w:tcMar>
            <w:vAlign w:val="center"/>
          </w:tcPr>
          <w:p>
            <w:pPr>
              <w:jc w:val="center"/>
            </w:pPr>
            <w:r>
              <w:rPr>
                <w:rFonts w:ascii="Arial" w:hAnsi="Arial"/>
                <w:b/>
                <w:color w:val="FFFFFF"/>
                <w:sz w:val="16"/>
              </w:rPr>
              <w:t>Axe</w:t>
            </w:r>
          </w:p>
        </w:tc>
        <w:tc>
          <w:tcPr>
            <w:tcW w:type="dxa" w:w="5640"/>
            <w:shd w:fill="171918"/>
            <w:tcMar>
              <w:top w:w="75" w:type="dxa"/>
              <w:start w:w="120" w:type="dxa"/>
              <w:bottom w:w="75" w:type="dxa"/>
              <w:end w:w="120" w:type="dxa"/>
            </w:tcMar>
            <w:vAlign w:val="center"/>
          </w:tcPr>
          <w:p>
            <w:pPr>
              <w:jc w:val="center"/>
            </w:pPr>
            <w:r>
              <w:rPr>
                <w:rFonts w:ascii="Arial" w:hAnsi="Arial"/>
                <w:b/>
                <w:color w:val="FFFFFF"/>
                <w:sz w:val="16"/>
              </w:rPr>
              <w:t>Éléments examinés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1</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Sobriété et climat</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Sortie des énergies fossiles · Sobriété matérielle · Compte ou score carbone · Régulation de la publicité · Transition socialement juste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2</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Nucléaire et renouvelables</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Développement du nucléaire · Développement des renouvelables · Électrification et efficacité · Réseaux et interconnexions · Pilotage et prix accessibles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3</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Mobilités bas carbone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Investissement ferroviaire · Transports collectifs et vélo · Réduction de la dépendance automobile · Aviation davantage mise à contribution · Fret et véhicules bas carbone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4</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Agriculture et alimentation</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Relocalisation et souveraineté alimentaire · Revenus agricoles et réforme de la PAC · Agroécologie et baisse des intrants · Sols, eau et biodiversité · Alimentation locale et soutenable</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5</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Industrie et relocalisation</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Relocalisation des secteurs stratégiques · Décarbonation industrielle · Économie circulaire et ressources · Politique industrielle publique et européenne · Emploi et territoires</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6</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Services publics et territoires</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Hôpital et accès aux soins · Éducation · Égalité territoriale · Logement et protection sociale · Moyens humains et investissement public</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7</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Démocratie et médias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Conventions citoyennes · Référendum d’initiative populaire · Réforme du mode de scrutin · Indépendance des médias · Décentralisation</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8</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Numérique et intelligence artificielle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Limitation des données commerciales · Régulation des plateformes et de l’attention · Transparence et encadrement de l’IA · Vérification d’âge et protection des mineurs · Maintien d’un accès non dématérialisé</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9</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Cohésion et immigration</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Maîtrise des flux migratoires · Accueil digne et réfugiés climatiques · Lutte contre les discriminations · Police de proximité et contrôle indépendant · Justice, détention et réinsertion</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8A7100"/>
                <w:sz w:val="15"/>
              </w:rPr>
              <w:t>10</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Europe, défense et Ukraine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Intégration européenne démocratique · Capacités de défense européennes · Autonomie stratégique · Soutien à l’Ukraine sous contrôle démocratique · Multilatéralisme et droit international</w:t>
            </w:r>
          </w:p>
        </w:tc>
      </w:tr>
    </w:tbl>
    <w:p>
      <w:r>
        <w:br w:type="page"/>
      </w:r>
    </w:p>
    <w:p>
      <w:pPr>
        <w:spacing w:before="0" w:after="40"/>
      </w:pPr>
      <w:r>
        <w:rPr>
          <w:rFonts w:ascii="Arial" w:hAnsi="Arial"/>
          <w:b/>
          <w:color w:val="8A7100"/>
          <w:sz w:val="15"/>
        </w:rPr>
        <w:t>RÉSULTATS</w:t>
      </w:r>
    </w:p>
    <w:p>
      <w:pPr>
        <w:pStyle w:val="Title"/>
        <w:spacing w:after="100"/>
        <w:pBdr>
          <w:bottom w:val="single" w:sz="8" w:space="3" w:color="FFD412"/>
        </w:pBdr>
      </w:pPr>
      <w:r>
        <w:rPr>
          <w:rFonts w:ascii="Arial" w:hAnsi="Arial"/>
          <w:b/>
          <w:color w:val="171918"/>
          <w:sz w:val="52"/>
        </w:rPr>
        <w:t>Classement général</w:t>
      </w:r>
    </w:p>
    <w:p>
      <w:pPr>
        <w:spacing w:after="140"/>
      </w:pPr>
      <w:r>
        <w:rPr>
          <w:rFonts w:ascii="Arial" w:hAnsi="Arial"/>
          <w:color w:val="6C6A66"/>
          <w:sz w:val="19"/>
        </w:rPr>
        <w:t>Somme des dix axes, sans agrégation entre référentiels.</w:t>
      </w:r>
    </w:p>
    <w:tbl>
      <w:tblPr>
        <w:tblW w:type="dxa" w:w="9240"/>
        <w:tblLayout w:type="fixed"/>
        <w:tblLook w:firstColumn="1" w:firstRow="1" w:lastColumn="0" w:lastRow="0" w:noHBand="0" w:noVBand="1" w:val="04A0"/>
        <w:tblInd w:w="120" w:type="dxa"/>
      </w:tblPr>
      <w:tblGrid>
        <w:gridCol w:w="980"/>
        <w:gridCol w:w="2650"/>
        <w:gridCol w:w="3000"/>
        <w:gridCol w:w="1250"/>
        <w:gridCol w:w="1360"/>
      </w:tblGrid>
      <w:tr>
        <w:trPr>
          <w:tblHeader w:val="true"/>
        </w:trPr>
        <w:tc>
          <w:tcPr>
            <w:tcW w:type="dxa" w:w="980"/>
            <w:shd w:fill="171918"/>
            <w:tcMar>
              <w:top w:w="70" w:type="dxa"/>
              <w:start w:w="120" w:type="dxa"/>
              <w:bottom w:w="70" w:type="dxa"/>
              <w:end w:w="120" w:type="dxa"/>
            </w:tcMar>
            <w:vAlign w:val="center"/>
          </w:tcPr>
          <w:p>
            <w:pPr>
              <w:jc w:val="center"/>
            </w:pPr>
            <w:r>
              <w:rPr>
                <w:rFonts w:ascii="Arial" w:hAnsi="Arial"/>
                <w:b/>
                <w:color w:val="FFFFFF"/>
                <w:sz w:val="15"/>
              </w:rPr>
              <w:t>Rang</w:t>
            </w:r>
          </w:p>
        </w:tc>
        <w:tc>
          <w:tcPr>
            <w:tcW w:type="dxa" w:w="2650"/>
            <w:shd w:fill="171918"/>
            <w:tcMar>
              <w:top w:w="70" w:type="dxa"/>
              <w:start w:w="120" w:type="dxa"/>
              <w:bottom w:w="70" w:type="dxa"/>
              <w:end w:w="120" w:type="dxa"/>
            </w:tcMar>
            <w:vAlign w:val="center"/>
          </w:tcPr>
          <w:p>
            <w:pPr>
              <w:jc w:val="center"/>
            </w:pPr>
            <w:r>
              <w:rPr>
                <w:rFonts w:ascii="Arial" w:hAnsi="Arial"/>
                <w:b/>
                <w:color w:val="FFFFFF"/>
                <w:sz w:val="15"/>
              </w:rPr>
              <w:t>Candidat</w:t>
            </w:r>
          </w:p>
        </w:tc>
        <w:tc>
          <w:tcPr>
            <w:tcW w:type="dxa" w:w="3000"/>
            <w:shd w:fill="171918"/>
            <w:tcMar>
              <w:top w:w="70" w:type="dxa"/>
              <w:start w:w="120" w:type="dxa"/>
              <w:bottom w:w="70" w:type="dxa"/>
              <w:end w:w="120" w:type="dxa"/>
            </w:tcMar>
            <w:vAlign w:val="center"/>
          </w:tcPr>
          <w:p>
            <w:pPr>
              <w:jc w:val="center"/>
            </w:pPr>
            <w:r>
              <w:rPr>
                <w:rFonts w:ascii="Arial" w:hAnsi="Arial"/>
                <w:b/>
                <w:color w:val="FFFFFF"/>
                <w:sz w:val="15"/>
              </w:rPr>
              <w:t>Formation</w:t>
            </w:r>
          </w:p>
        </w:tc>
        <w:tc>
          <w:tcPr>
            <w:tcW w:type="dxa" w:w="1250"/>
            <w:shd w:fill="171918"/>
            <w:tcMar>
              <w:top w:w="70" w:type="dxa"/>
              <w:start w:w="120" w:type="dxa"/>
              <w:bottom w:w="70" w:type="dxa"/>
              <w:end w:w="120" w:type="dxa"/>
            </w:tcMar>
            <w:vAlign w:val="center"/>
          </w:tcPr>
          <w:p>
            <w:pPr>
              <w:jc w:val="center"/>
            </w:pPr>
            <w:r>
              <w:rPr>
                <w:rFonts w:ascii="Arial" w:hAnsi="Arial"/>
                <w:b/>
                <w:color w:val="FFFFFF"/>
                <w:sz w:val="15"/>
              </w:rPr>
              <w:t>Total</w:t>
            </w:r>
          </w:p>
        </w:tc>
        <w:tc>
          <w:tcPr>
            <w:tcW w:type="dxa" w:w="1360"/>
            <w:shd w:fill="171918"/>
            <w:tcMar>
              <w:top w:w="70" w:type="dxa"/>
              <w:start w:w="120" w:type="dxa"/>
              <w:bottom w:w="70" w:type="dxa"/>
              <w:end w:w="120" w:type="dxa"/>
            </w:tcMar>
            <w:vAlign w:val="center"/>
          </w:tcPr>
          <w:p>
            <w:pPr>
              <w:jc w:val="center"/>
            </w:pPr>
            <w:r>
              <w:rPr>
                <w:rFonts w:ascii="Arial" w:hAnsi="Arial"/>
                <w:b/>
                <w:color w:val="FFFFFF"/>
                <w:sz w:val="15"/>
              </w:rPr>
              <w:t>Documentation</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1re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Marine Tondelier</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Les Écologistes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91/100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2e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Raphaël Glucksmann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Place publique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88/100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3e ex æquo</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François Ruffin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Picardie debout / Debout !</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86/100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3e ex æquo</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Jean-Luc Mélenchon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La France insoumise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86/100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5e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Fabien Roussel</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Parti communiste français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71/100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 à 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6e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Gabriel Attal</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Renaissance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66/100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7e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Édouard Philippe</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Horizons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D6A900"/>
                <w:sz w:val="15"/>
              </w:rPr>
              <w:t>60/100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8e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Marine Le Pen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Rassemblement national</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D6A900"/>
                <w:sz w:val="15"/>
              </w:rPr>
              <w:t>41/100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 à 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9e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Bruno Retailleau</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Les Républicains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F17A0B"/>
                <w:sz w:val="15"/>
              </w:rPr>
              <w:t>34/100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10e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Éric Zemmour</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Reconquête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E65117"/>
                <w:sz w:val="15"/>
              </w:rPr>
              <w:t>24/100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bl>
    <w:p>
      <w:pPr>
        <w:spacing w:before="100" w:after="100"/>
      </w:pPr>
      <w:r>
        <w:rPr>
          <w:rFonts w:ascii="Arial" w:hAnsi="Arial"/>
          <w:color w:val="171918"/>
          <w:sz w:val="16"/>
        </w:rPr>
        <w:t>Tondelier et Glucksmann restent en tête. Ruffin et Mélenchon sont ex æquo, avec des divergences ou incertitudes plus fortes sur le nucléaire, l’intégration militaire européenne et l’Ukraine.</w:t>
      </w:r>
    </w:p>
    <w:tbl>
      <w:tblPr>
        <w:tblW w:type="dxa" w:w="9240"/>
        <w:tblLayout w:type="fixed"/>
        <w:tblLook w:firstColumn="1" w:firstRow="1" w:lastColumn="0" w:lastRow="0" w:noHBand="0" w:noVBand="1" w:val="04A0"/>
        <w:tblInd w:w="120" w:type="dxa"/>
      </w:tblPr>
      <w:tblGrid>
        <w:gridCol w:w="9240"/>
      </w:tblGrid>
      <w:tr>
        <w:tc>
          <w:tcPr>
            <w:tcW w:type="dxa" w:w="9240"/>
            <w:shd w:fill="FFF7DF"/>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Lecture prudente</w:t>
            </w:r>
          </w:p>
          <w:p>
            <w:pPr>
              <w:spacing w:after="0"/>
            </w:pPr>
            <w:r>
              <w:rPr>
                <w:rFonts w:ascii="Arial" w:hAnsi="Arial"/>
                <w:color w:val="171918"/>
                <w:sz w:val="16"/>
              </w:rPr>
              <w:t>Le classement ordonne des appréciations argumentées, pas des mesures exactes. Les écarts de 1 ou 2 points sont trop faibles pour être considérés comme décisifs.</w:t>
            </w:r>
          </w:p>
        </w:tc>
      </w:tr>
    </w:tbl>
    <w:p>
      <w:pPr>
        <w:spacing w:after="0" w:before="0"/>
      </w:pPr>
    </w:p>
    <w:p>
      <w:r>
        <w:br w:type="page"/>
      </w:r>
    </w:p>
    <w:p>
      <w:pPr>
        <w:spacing w:before="0" w:after="40"/>
      </w:pPr>
      <w:r>
        <w:rPr>
          <w:rFonts w:ascii="Arial" w:hAnsi="Arial"/>
          <w:b/>
          <w:color w:val="8A7100"/>
          <w:sz w:val="15"/>
        </w:rPr>
        <w:t>COMPARATIF · 10E / 9E</w:t>
      </w:r>
    </w:p>
    <w:p>
      <w:pPr>
        <w:pStyle w:val="Title"/>
        <w:spacing w:after="100"/>
        <w:pBdr>
          <w:bottom w:val="single" w:sz="8" w:space="3" w:color="FFD412"/>
        </w:pBdr>
      </w:pPr>
      <w:r>
        <w:rPr>
          <w:rFonts w:ascii="Arial" w:hAnsi="Arial"/>
          <w:b/>
          <w:color w:val="171918"/>
          <w:sz w:val="52"/>
        </w:rPr>
        <w:t>Éric Zemmour / Bruno Retailleau</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3" name="Picture 3"/>
            <wp:cNvGraphicFramePr>
              <a:graphicFrameLocks noChangeAspect="1"/>
            </wp:cNvGraphicFramePr>
            <a:graphic>
              <a:graphicData uri="http://schemas.openxmlformats.org/drawingml/2006/picture">
                <pic:pic>
                  <pic:nvPicPr>
                    <pic:cNvPr id="0" name="pair-01.png"/>
                    <pic:cNvPicPr/>
                  </pic:nvPicPr>
                  <pic:blipFill>
                    <a:blip r:embed="rId1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Qualité des sources</w:t>
            </w:r>
          </w:p>
          <w:p>
            <w:pPr>
              <w:spacing w:after="0"/>
            </w:pPr>
            <w:r>
              <w:rPr>
                <w:rFonts w:ascii="Arial" w:hAnsi="Arial"/>
                <w:color w:val="171918"/>
                <w:sz w:val="16"/>
              </w:rPr>
              <w:t>Éric Zemmour : Programme présidentiel 2022 et prises de position ultérieures ; base 2027 encore partielle. Bruno Retailleau : Propositions LR et prises de position officielles ; programme présidentiel exhaustif non publié.</w:t>
            </w:r>
          </w:p>
        </w:tc>
      </w:tr>
    </w:tbl>
    <w:p>
      <w:pPr>
        <w:spacing w:after="0" w:before="0"/>
      </w:pPr>
    </w:p>
    <w:p>
      <w:pPr>
        <w:sectPr>
          <w:headerReference w:type="default" r:id="rId9"/>
          <w:footerReference w:type="default" r:id="rId10"/>
          <w:pgSz w:w="12240" w:h="15840"/>
          <w:pgMar w:top="720" w:right="1440" w:bottom="720" w:left="1440" w:header="317" w:footer="317" w:gutter="0"/>
          <w:cols w:space="720"/>
          <w:docGrid w:linePitch="360"/>
        </w:sectPr>
      </w:pPr>
    </w:p>
    <w:p>
      <w:pPr>
        <w:spacing w:before="0" w:after="40"/>
      </w:pPr>
      <w:r>
        <w:rPr>
          <w:rFonts w:ascii="Arial" w:hAnsi="Arial"/>
          <w:b/>
          <w:color w:val="8A7100"/>
          <w:sz w:val="15"/>
        </w:rPr>
        <w:t>JUSTIFICATION DES NOTES</w:t>
      </w:r>
    </w:p>
    <w:p>
      <w:pPr>
        <w:pStyle w:val="Title"/>
        <w:spacing w:after="100"/>
        <w:pBdr>
          <w:bottom w:val="single" w:sz="8" w:space="3" w:color="FFD412"/>
        </w:pBdr>
      </w:pPr>
      <w:r>
        <w:rPr>
          <w:rFonts w:ascii="Arial" w:hAnsi="Arial"/>
          <w:b/>
          <w:color w:val="171918"/>
          <w:sz w:val="52"/>
        </w:rPr>
        <w:t>Éric Zemmour / Bruno Retailleau</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Éric Zemmour</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Bruno Retailleau</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Sobriété &amp; climat</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Refus explicite de la sobriété et priorité à la croissance et au pouvoir d’achat fossile : divergence presque complète.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partielle, mais opposition aux politiques de sobriété, aux renouvelables subventionnés et aux contraintes écologiques.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Nucléaire &amp; renouvelables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compatible, mais opposition aux renouvelables et faible ambition sur réseaux et prix pilotés.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très compatible ; renouvelables, interconnexions et pilotage public des prix beaucoup moins.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bas carbone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Quelques investissements et véhicules bas carbone, mais modèle automobile et aérien sans contrainte.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limité au rail et aux véhicules propres, dans une ligne demeurant très automobile.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Agriculture &amp; alimentation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alimentaire partiellement commune, mais agroécologie, intrants et biodiversité divergent fortement.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et revenu agricoles convergent, mais opposition aux contraintes agroécologiques et environnementales.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Industrie &amp; relocalisation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 et production nationales convergent en partie ; décarbonation et économie circulaire sont faibles.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 et production compatibles ; décarbonation, circularité et stratégie européenne restent partielles.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Services publics &amp; territoires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essentiels maintenus, mais préférence nationale et réduction de l’État social éloignent le projet.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Maintien des fonctions essentielles, mais priorité à la baisse de dépense et faible renforcement des moyens publics.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médias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peu de participation citoyenne, de réforme du scrutin ou d’indépendance médiatique ; pouvoir exécutif fort.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Décentralisation partielle et recours au référendum, sans proportionnelle ni démocratie citoyenne structurée.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IA</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des mineurs et surveillance de l’IA partiellement compatibles, mais doctrine générale très sécuritaire.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des mineurs et IA encadrée, mais surveillance renforcée et faible limitation des données commerciales.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Cohésion &amp; immigration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identitaire et immigration quasi nulle, opposées à l’accueil digne, la non-discrimination et la réinsertion.</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Maîtrise des flux converge seule ; accueil, discriminations, police contrôlée et réinsertion sont très éloignés.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&amp; Ukraine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Souverainisme hostile à l’intégration européenne et ligne conciliante envers la Russie : divergence majeure.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européenne intergouvernementale et soutien à l’Ukraine, mais intégration démocratique et multilatéralisme plus limités.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bl>
    <w:p>
      <w:pPr>
        <w:sectPr>
          <w:headerReference w:type="default" r:id="rId14"/>
          <w:footerReference w:type="default" r:id="rId15"/>
          <w:pgSz w:w="15840" w:h="12240" w:orient="landscape"/>
          <w:pgMar w:top="605" w:right="720" w:bottom="648" w:left="720" w:header="317" w:footer="317" w:gutter="0"/>
          <w:cols w:space="720"/>
          <w:docGrid w:linePitch="360"/>
        </w:sectPr>
      </w:pPr>
    </w:p>
    <w:p>
      <w:pPr>
        <w:spacing w:before="0" w:after="40"/>
      </w:pPr>
      <w:r>
        <w:rPr>
          <w:rFonts w:ascii="Arial" w:hAnsi="Arial"/>
          <w:b/>
          <w:color w:val="8A7100"/>
          <w:sz w:val="15"/>
        </w:rPr>
        <w:t>COMPARATIF · 8E / 7E</w:t>
      </w:r>
    </w:p>
    <w:p>
      <w:pPr>
        <w:pStyle w:val="Title"/>
        <w:spacing w:after="100"/>
        <w:pBdr>
          <w:bottom w:val="single" w:sz="8" w:space="3" w:color="FFD412"/>
        </w:pBdr>
      </w:pPr>
      <w:r>
        <w:rPr>
          <w:rFonts w:ascii="Arial" w:hAnsi="Arial"/>
          <w:b/>
          <w:color w:val="171918"/>
          <w:sz w:val="52"/>
        </w:rPr>
        <w:t>Marine Le Pen / Édouard Philippe</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4" name="Picture 4"/>
            <wp:cNvGraphicFramePr>
              <a:graphicFrameLocks noChangeAspect="1"/>
            </wp:cNvGraphicFramePr>
            <a:graphic>
              <a:graphicData uri="http://schemas.openxmlformats.org/drawingml/2006/picture">
                <pic:pic>
                  <pic:nvPicPr>
                    <pic:cNvPr id="0" name="pair-02.png"/>
                    <pic:cNvPicPr/>
                  </pic:nvPicPr>
                  <pic:blipFill>
                    <a:blip r:embed="rId1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Qualité des sources</w:t>
            </w:r>
          </w:p>
          <w:p>
            <w:pPr>
              <w:spacing w:after="0"/>
            </w:pPr>
            <w:r>
              <w:rPr>
                <w:rFonts w:ascii="Arial" w:hAnsi="Arial"/>
                <w:color w:val="171918"/>
                <w:sz w:val="16"/>
              </w:rPr>
              <w:t>Marine Le Pen : Programmes RN établis ; plusieurs orientations 2027 restent susceptibles d’évoluer. Édouard Philippe : Orientations d’Horizons et discours d’Édouard Philippe ; programme 2027 encore incomplet.</w:t>
            </w:r>
          </w:p>
        </w:tc>
      </w:tr>
    </w:tbl>
    <w:p>
      <w:pPr>
        <w:spacing w:after="0" w:before="0"/>
      </w:pPr>
    </w:p>
    <w:p>
      <w:pPr>
        <w:sectPr>
          <w:headerReference w:type="default" r:id="rId16"/>
          <w:footerReference w:type="default" r:id="rId17"/>
          <w:pgSz w:w="12240" w:h="15840"/>
          <w:pgMar w:top="720" w:right="1440" w:bottom="720" w:left="1440" w:header="317" w:footer="317" w:gutter="0"/>
          <w:cols w:space="720"/>
          <w:docGrid w:linePitch="360"/>
        </w:sectPr>
      </w:pPr>
    </w:p>
    <w:p>
      <w:pPr>
        <w:spacing w:before="0" w:after="40"/>
      </w:pPr>
      <w:r>
        <w:rPr>
          <w:rFonts w:ascii="Arial" w:hAnsi="Arial"/>
          <w:b/>
          <w:color w:val="8A7100"/>
          <w:sz w:val="15"/>
        </w:rPr>
        <w:t>JUSTIFICATION DES NOTES</w:t>
      </w:r>
    </w:p>
    <w:p>
      <w:pPr>
        <w:pStyle w:val="Title"/>
        <w:spacing w:after="100"/>
        <w:pBdr>
          <w:bottom w:val="single" w:sz="8" w:space="3" w:color="FFD412"/>
        </w:pBdr>
      </w:pPr>
      <w:r>
        <w:rPr>
          <w:rFonts w:ascii="Arial" w:hAnsi="Arial"/>
          <w:b/>
          <w:color w:val="171918"/>
          <w:sz w:val="52"/>
        </w:rPr>
        <w:t>Marine Le Pen / Édouard Philippe</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Marine Le Pen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Édouard Philippe</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Sobriété &amp; climat</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Programme opposé à la sobriété contrainte et à plusieurs politiques climatiques ; seul le volet social apporte une faible convergence.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admise, mais sobriété et contraintes sur la consommation ou la publicité sont largement absentes.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Nucléaire &amp; renouvelables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et prix accessibles convergent, mais forte hostilité aux renouvelables et faible logique européenne des réseaux.</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Forte convergence sur nucléaire, renouvelables, électrification et réseaux ; approche plus marchande des prix.</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bas carbone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Quelques mesures sur rail et véhicules, mais modèle très centré sur l’automobile et refus des restrictions aériennes.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Modernisation des transports et véhicules propres, mais priorité moindre au vélo et à la réduction automobile.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Agriculture &amp; alimentation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revenu agricole et localisme convergent ; agroécologie et biodiversité sont beaucoup moins ambitieuses.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agricole compatible ; transformation agroécologique et baisse des intrants moins ambitieuses.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Industrie &amp; relocalisation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Relocalisations et emploi industriel compatibles, mais politique européenne et économie circulaire plus faibles.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Relocalisations, industrie européenne, décarbonation et emploi productif convergent fortement.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Services publics &amp; territoires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de l’hôpital, du pouvoir d’achat et des territoires, malgré la préférence nationale et des moyens discutables.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Attention aux territoires et aux services essentiels, mais réduction de la dépense et moyens publics créent un écart.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médias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Référendum et proportionnelle apportent des points ; médias, contre-pouvoirs et décentralisation divergent.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Décentralisation affirmée, mais peu de conventions citoyennes, de RIP ou de réforme profonde du scrutin.</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IA</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des mineurs et accès physique convergent, mais données, IA et plateformes relèvent d’une ligne sécuritaire ambiguë.</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IA et protection des mineurs encadrées ; données, attention et maintien d’alternatives physiques moins développés.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Cohésion &amp; immigration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Maîtrise des flux très forte, mais accueil, non-discrimination, contrôle policier et réinsertion divergent nettement.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Maîtrise migratoire et justice efficaces, avec une approche plus restrictive de l’accueil et du contrôle policier.</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&amp; Ukraine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Souverainisme européen et ligne historiquement prorusse, avec soutien défensif limité à l’Ukraine depuis 2022.</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l’Europe-puissance, la défense européenne, l’autonomie et le soutien à l’Ukraine.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bl>
    <w:p>
      <w:pPr>
        <w:sectPr>
          <w:headerReference w:type="default" r:id="rId19"/>
          <w:footerReference w:type="default" r:id="rId20"/>
          <w:pgSz w:w="15840" w:h="12240" w:orient="landscape"/>
          <w:pgMar w:top="605" w:right="720" w:bottom="648" w:left="720" w:header="317" w:footer="317" w:gutter="0"/>
          <w:cols w:space="720"/>
          <w:docGrid w:linePitch="360"/>
        </w:sectPr>
      </w:pPr>
    </w:p>
    <w:p>
      <w:pPr>
        <w:spacing w:before="0" w:after="40"/>
      </w:pPr>
      <w:r>
        <w:rPr>
          <w:rFonts w:ascii="Arial" w:hAnsi="Arial"/>
          <w:b/>
          <w:color w:val="8A7100"/>
          <w:sz w:val="15"/>
        </w:rPr>
        <w:t>COMPARATIF · 6E / 5E</w:t>
      </w:r>
    </w:p>
    <w:p>
      <w:pPr>
        <w:pStyle w:val="Title"/>
        <w:spacing w:after="100"/>
        <w:pBdr>
          <w:bottom w:val="single" w:sz="8" w:space="3" w:color="FFD412"/>
        </w:pBdr>
      </w:pPr>
      <w:r>
        <w:rPr>
          <w:rFonts w:ascii="Arial" w:hAnsi="Arial"/>
          <w:b/>
          <w:color w:val="171918"/>
          <w:sz w:val="52"/>
        </w:rPr>
        <w:t>Gabriel Attal / Fabien Roussel</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5" name="Picture 5"/>
            <wp:cNvGraphicFramePr>
              <a:graphicFrameLocks noChangeAspect="1"/>
            </wp:cNvGraphicFramePr>
            <a:graphic>
              <a:graphicData uri="http://schemas.openxmlformats.org/drawingml/2006/picture">
                <pic:pic>
                  <pic:nvPicPr>
                    <pic:cNvPr id="0" name="pair-03.png"/>
                    <pic:cNvPicPr/>
                  </pic:nvPicPr>
                  <pic:blipFill>
                    <a:blip r:embed="rId2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Qualité des sources</w:t>
            </w:r>
          </w:p>
          <w:p>
            <w:pPr>
              <w:spacing w:after="0"/>
            </w:pPr>
            <w:r>
              <w:rPr>
                <w:rFonts w:ascii="Arial" w:hAnsi="Arial"/>
                <w:color w:val="171918"/>
                <w:sz w:val="16"/>
              </w:rPr>
              <w:t>Gabriel Attal : Projet présidentiel en cours de publication ; propositions officielles complétées par le bilan gouvernemental. Fabien Roussel : Programme PCF européen et propositions nationales récentes ; certains items restent indirects.</w:t>
            </w:r>
          </w:p>
        </w:tc>
      </w:tr>
    </w:tbl>
    <w:p>
      <w:pPr>
        <w:spacing w:after="0" w:before="0"/>
      </w:pPr>
    </w:p>
    <w:p>
      <w:pPr>
        <w:sectPr>
          <w:headerReference w:type="default" r:id="rId21"/>
          <w:footerReference w:type="default" r:id="rId22"/>
          <w:pgSz w:w="12240" w:h="15840"/>
          <w:pgMar w:top="720" w:right="1440" w:bottom="720" w:left="1440" w:header="317" w:footer="317" w:gutter="0"/>
          <w:cols w:space="720"/>
          <w:docGrid w:linePitch="360"/>
        </w:sectPr>
      </w:pPr>
    </w:p>
    <w:p>
      <w:pPr>
        <w:spacing w:before="0" w:after="40"/>
      </w:pPr>
      <w:r>
        <w:rPr>
          <w:rFonts w:ascii="Arial" w:hAnsi="Arial"/>
          <w:b/>
          <w:color w:val="8A7100"/>
          <w:sz w:val="15"/>
        </w:rPr>
        <w:t>JUSTIFICATION DES NOTES</w:t>
      </w:r>
    </w:p>
    <w:p>
      <w:pPr>
        <w:pStyle w:val="Title"/>
        <w:spacing w:after="100"/>
        <w:pBdr>
          <w:bottom w:val="single" w:sz="8" w:space="3" w:color="FFD412"/>
        </w:pBdr>
      </w:pPr>
      <w:r>
        <w:rPr>
          <w:rFonts w:ascii="Arial" w:hAnsi="Arial"/>
          <w:b/>
          <w:color w:val="171918"/>
          <w:sz w:val="52"/>
        </w:rPr>
        <w:t>Gabriel Attal / Fabien Roussel</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Gabriel Attal</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Fabien Roussel</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Sobriété &amp; climat</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Sortie des fossiles reconnue, mais sobriété, compte carbone et régulation de la publicité peu assumés.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et justice sociale affirmées, mais sobriété matérielle et instruments carbone moins présents.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Nucléaire &amp; renouvelables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renouvelables, électrification et réseaux convergent fortement ; politique des prix plus libérale.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nucléaire, renouvelables, électrification, réseaux et maîtrise publique des prix.</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bas carbone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des véhicules et quelques investissements collectifs, sans réduction forte de la dépendance automobile.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Investissements ferroviaires et transports collectifs forts ; réduction de l’automobile et de l’aviation moins nette.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Agriculture &amp; alimentation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et renouvellement agricole mis en avant ; agroécologie et baisse des intrants moins contraignantes.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et revenu agricoles convergent, mais baisse des intrants et transformation agroécologique sont plus prudentes.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Industrie &amp; relocalisation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Réindustrialisation européenne, décarbonation et technologies stratégiques très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Réindustrialisation, planification publique, décarbonation et emplois territoriaux sont très proches.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Services publics &amp; territoires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Éducation prioritaire mais ligne plus restrictive sur dépenses, protection sociale et moyens humains.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le renforcement des services publics et de la protection sociale.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médias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Quelques réformes européennes, mais peu de démocratie participative, de RIP ou de décentralisation nouvelle.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Proportionnelle, transparence et indépendance des médias ; participation citoyenne et décentralisation plus limitées.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IA</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Régulation des plateformes, de l’IA et protection des mineurs très proches, malgré un risque de contrôle numérique excessif.</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Régulation des plateformes et accès humain compatibles, mais doctrine IA, données et mineurs demeure mixte.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Cohésion &amp; immigration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Maîtrise des flux et lutte contre les discriminations, mais accueil et doctrine pénale plus restrictifs.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égalité et justice sociale assez proches ; police et maîtrise migratoire diffèrent partiellement.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&amp; Ukraine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l’Europe-puissance, la défense commune, l’autonomie stratégique et l’Ukraine.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Autonomie et multilatéralisme convergent, mais refus de la défense européenne intégrée et aide militaire plus restrictive.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bl>
    <w:p>
      <w:pPr>
        <w:sectPr>
          <w:headerReference w:type="default" r:id="rId24"/>
          <w:footerReference w:type="default" r:id="rId25"/>
          <w:pgSz w:w="15840" w:h="12240" w:orient="landscape"/>
          <w:pgMar w:top="605" w:right="720" w:bottom="648" w:left="720" w:header="317" w:footer="317" w:gutter="0"/>
          <w:cols w:space="720"/>
          <w:docGrid w:linePitch="360"/>
        </w:sectPr>
      </w:pPr>
    </w:p>
    <w:p>
      <w:pPr>
        <w:spacing w:before="0" w:after="40"/>
      </w:pPr>
      <w:r>
        <w:rPr>
          <w:rFonts w:ascii="Arial" w:hAnsi="Arial"/>
          <w:b/>
          <w:color w:val="8A7100"/>
          <w:sz w:val="15"/>
        </w:rPr>
        <w:t>COMPARATIF · 2E / 3E EX ÆQUO</w:t>
      </w:r>
    </w:p>
    <w:p>
      <w:pPr>
        <w:pStyle w:val="Title"/>
        <w:spacing w:after="100"/>
        <w:pBdr>
          <w:bottom w:val="single" w:sz="8" w:space="3" w:color="FFD412"/>
        </w:pBdr>
      </w:pPr>
      <w:r>
        <w:rPr>
          <w:rFonts w:ascii="Arial" w:hAnsi="Arial"/>
          <w:b/>
          <w:color w:val="171918"/>
          <w:sz w:val="52"/>
        </w:rPr>
        <w:t>Raphaël Glucksmann / Jean-Luc Mélenchon</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6" name="Picture 6"/>
            <wp:cNvGraphicFramePr>
              <a:graphicFrameLocks noChangeAspect="1"/>
            </wp:cNvGraphicFramePr>
            <a:graphic>
              <a:graphicData uri="http://schemas.openxmlformats.org/drawingml/2006/picture">
                <pic:pic>
                  <pic:nvPicPr>
                    <pic:cNvPr id="0" name="pair-04.png"/>
                    <pic:cNvPicPr/>
                  </pic:nvPicPr>
                  <pic:blipFill>
                    <a:blip r:embed="rId2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Qualité des sources</w:t>
            </w:r>
          </w:p>
          <w:p>
            <w:pPr>
              <w:spacing w:after="0"/>
            </w:pPr>
            <w:r>
              <w:rPr>
                <w:rFonts w:ascii="Arial" w:hAnsi="Arial"/>
                <w:color w:val="171918"/>
                <w:sz w:val="16"/>
              </w:rPr>
              <w:t>Raphaël Glucksmann : Acte I de Place publique et programme européen : documentation thématique dense. Jean-Luc Mélenchon : Programmes LFI 2022 et 2024 très détaillés, complétés par des livrets thématiques.</w:t>
            </w:r>
          </w:p>
        </w:tc>
      </w:tr>
    </w:tbl>
    <w:p>
      <w:pPr>
        <w:spacing w:after="0" w:before="0"/>
      </w:pPr>
    </w:p>
    <w:p>
      <w:pPr>
        <w:sectPr>
          <w:headerReference w:type="default" r:id="rId26"/>
          <w:footerReference w:type="default" r:id="rId27"/>
          <w:pgSz w:w="12240" w:h="15840"/>
          <w:pgMar w:top="720" w:right="1440" w:bottom="720" w:left="1440" w:header="317" w:footer="317" w:gutter="0"/>
          <w:cols w:space="720"/>
          <w:docGrid w:linePitch="360"/>
        </w:sectPr>
      </w:pPr>
    </w:p>
    <w:p>
      <w:pPr>
        <w:spacing w:before="0" w:after="40"/>
      </w:pPr>
      <w:r>
        <w:rPr>
          <w:rFonts w:ascii="Arial" w:hAnsi="Arial"/>
          <w:b/>
          <w:color w:val="8A7100"/>
          <w:sz w:val="15"/>
        </w:rPr>
        <w:t>JUSTIFICATION DES NOTES</w:t>
      </w:r>
    </w:p>
    <w:p>
      <w:pPr>
        <w:pStyle w:val="Title"/>
        <w:spacing w:after="100"/>
        <w:pBdr>
          <w:bottom w:val="single" w:sz="8" w:space="3" w:color="FFD412"/>
        </w:pBdr>
      </w:pPr>
      <w:r>
        <w:rPr>
          <w:rFonts w:ascii="Arial" w:hAnsi="Arial"/>
          <w:b/>
          <w:color w:val="171918"/>
          <w:sz w:val="52"/>
        </w:rPr>
        <w:t>Raphaël Glucksmann / Jean-Luc Mélenchon</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Raphaël Glucksmann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Jean-Luc Mélenchon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Sobriété &amp; climat</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et sobriété assumées, mais outils de rationnement individuel et encadrement publicitaire moins centraux.</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Planification écologique, sobriété, sortie des fossiles, régulation publicitaire et justice sociale très convergentes.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Nucléaire &amp; renouvelables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le nucléaire, les renouvelables, l’électrification, les réseaux européens et le pilotage public.</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proche sur renouvelables, efficacité et prix, mais sortie du nucléaire contraire au mix défendu par Équinoxe.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bas carbone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Forte priorité au ferroviaire et aux transports propres ; réduction de l’aviation et de l’automobile un peu moins structurante.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rail, transports collectifs, vélo, fret et réduction de l’aviation.</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Agriculture &amp; alimentation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Réforme de la PAC, agroécologie et souveraineté alimentaire convergent fortement, sans identité parfaite.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Agroécologie, souveraineté alimentaire, réforme de la PAC et protection des ressources pleinement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Industrie &amp; relocalisation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industrielle européenne, relocalisations stratégiques et décarbonation correspondent directement au référentiel.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Planification, relocalisations et décarbonation industrielle convergent presque totalement.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Services publics &amp; territoires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Renforcement des services publics et investissement social clairs ; modalités financières encore moins détaillées.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Programme très développé de renforcement de l’hôpital, de l’école et de la protection sociale.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médias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Proportionnelle, conventions citoyennes et médias indépendants ; référendum d’initiative populaire moins affirmé.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VIe République, RIC, proportionnelle, participation citoyenne et réforme des médias très proches.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IA</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régulateur sur plateformes, IA et mineurs, mais doctrine moins protectrice sur les données et l’accès hors ligne.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Encadrement des plateformes, données et IA convergent ; protection par l’âge plus prudente.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Cohésion &amp; immigration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et lutte contre les discriminations, tout en assumant davantage de contrôle migratoire et sécuritaire.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non-discrimination, police de proximité et réinsertion ; maîtrise des flux moins centrale.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&amp; Ukraine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l’intégration européenne, la défense commune, l’autonomie stratégique et le soutien à l’Ukraine.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Divergence majeure sur l’intégration militaire européenne et soutien à l’Ukraine plus limité, malgré le multilatéralisme.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bl>
    <w:p>
      <w:pPr>
        <w:sectPr>
          <w:headerReference w:type="default" r:id="rId29"/>
          <w:footerReference w:type="default" r:id="rId30"/>
          <w:pgSz w:w="15840" w:h="12240" w:orient="landscape"/>
          <w:pgMar w:top="605" w:right="720" w:bottom="648" w:left="720" w:header="317" w:footer="317" w:gutter="0"/>
          <w:cols w:space="720"/>
          <w:docGrid w:linePitch="360"/>
        </w:sectPr>
      </w:pPr>
    </w:p>
    <w:p>
      <w:pPr>
        <w:spacing w:before="0" w:after="40"/>
      </w:pPr>
      <w:r>
        <w:rPr>
          <w:rFonts w:ascii="Arial" w:hAnsi="Arial"/>
          <w:b/>
          <w:color w:val="8A7100"/>
          <w:sz w:val="15"/>
        </w:rPr>
        <w:t>COMPARATIF · 3E EX ÆQUO / 1RE</w:t>
      </w:r>
    </w:p>
    <w:p>
      <w:pPr>
        <w:pStyle w:val="Title"/>
        <w:spacing w:after="100"/>
        <w:pBdr>
          <w:bottom w:val="single" w:sz="8" w:space="3" w:color="FFD412"/>
        </w:pBdr>
      </w:pPr>
      <w:r>
        <w:rPr>
          <w:rFonts w:ascii="Arial" w:hAnsi="Arial"/>
          <w:b/>
          <w:color w:val="171918"/>
          <w:sz w:val="52"/>
        </w:rPr>
        <w:t>François Ruffin / Marine Tondelier</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7" name="Picture 7"/>
            <wp:cNvGraphicFramePr>
              <a:graphicFrameLocks noChangeAspect="1"/>
            </wp:cNvGraphicFramePr>
            <a:graphic>
              <a:graphicData uri="http://schemas.openxmlformats.org/drawingml/2006/picture">
                <pic:pic>
                  <pic:nvPicPr>
                    <pic:cNvPr id="0" name="pair-05.png"/>
                    <pic:cNvPicPr/>
                  </pic:nvPicPr>
                  <pic:blipFill>
                    <a:blip r:embed="rId3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Qualité des sources</w:t>
            </w:r>
          </w:p>
          <w:p>
            <w:pPr>
              <w:spacing w:after="0"/>
            </w:pPr>
            <w:r>
              <w:rPr>
                <w:rFonts w:ascii="Arial" w:hAnsi="Arial"/>
                <w:color w:val="171918"/>
                <w:sz w:val="16"/>
              </w:rPr>
              <w:t>François Ruffin : Propositions et prises de position nombreuses, mais programme présidentiel complet non publié. Marine Tondelier : Programme présidentiel écologiste détaillé publié en juillet 2026.</w:t>
            </w:r>
          </w:p>
        </w:tc>
      </w:tr>
    </w:tbl>
    <w:p>
      <w:pPr>
        <w:spacing w:after="0" w:before="0"/>
      </w:pPr>
    </w:p>
    <w:p>
      <w:pPr>
        <w:sectPr>
          <w:headerReference w:type="default" r:id="rId31"/>
          <w:footerReference w:type="default" r:id="rId32"/>
          <w:pgSz w:w="12240" w:h="15840"/>
          <w:pgMar w:top="720" w:right="1440" w:bottom="720" w:left="1440" w:header="317" w:footer="317" w:gutter="0"/>
          <w:cols w:space="720"/>
          <w:docGrid w:linePitch="360"/>
        </w:sectPr>
      </w:pPr>
    </w:p>
    <w:p>
      <w:pPr>
        <w:spacing w:before="0" w:after="40"/>
      </w:pPr>
      <w:r>
        <w:rPr>
          <w:rFonts w:ascii="Arial" w:hAnsi="Arial"/>
          <w:b/>
          <w:color w:val="8A7100"/>
          <w:sz w:val="15"/>
        </w:rPr>
        <w:t>JUSTIFICATION DES NOTES</w:t>
      </w:r>
    </w:p>
    <w:p>
      <w:pPr>
        <w:pStyle w:val="Title"/>
        <w:spacing w:after="100"/>
        <w:pBdr>
          <w:bottom w:val="single" w:sz="8" w:space="3" w:color="FFD412"/>
        </w:pBdr>
      </w:pPr>
      <w:r>
        <w:rPr>
          <w:rFonts w:ascii="Arial" w:hAnsi="Arial"/>
          <w:b/>
          <w:color w:val="171918"/>
          <w:sz w:val="52"/>
        </w:rPr>
        <w:t>François Ruffin / Marine Tondelier</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François Ruffin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Marine Tondelier</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Sobriété &amp; climat</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Sobriété, justice climatique et limitation de la consommation sont très proches du référentiel.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presque complète sur la sobriété, la sortie des fossiles, la publicité et la justice sociale.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Nucléaire &amp; renouvelables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Renouvelables et prix accessibles convergent, mais sa position nucléaire reste insuffisamment tranchée et la dimension européenne est plus faible.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proche sur les renouvelables, l’électrification et les réseaux, mais opposition centrale au maintien et au développement du nucléaire.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bas carbone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Rail, transports collectifs, vélo, fret et réduction des mobilités carbonées sont pleinement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Priorité forte au rail, aux transports collectifs, au vélo et à la réduction des usages carbonés.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Agriculture &amp; alimentation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des agriculteurs, agroécologie, relocalisation alimentaire et protection du vivant convergent fortement.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Agroécologie, baisse des intrants, protection des sols et alimentation soutenable sont au cœur du projet.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Industrie &amp; relocalisation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 planification industrielle, décarbonation et emploi territorial sont au centre de sa ligne.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Réindustrialisation verte et économie circulaire compatibles ; doctrine moins productiviste que celle d’Équinoxe.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Services publics &amp; territoires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forte convergence sur l’hôpital, l’école, la protection sociale, le logement et les territoires.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Renforcement massif des services publics, de l’hôpital, de l’école et de l’égalité territoriale.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médias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RIC, proportionnelle, participation citoyenne et médias moins concentrés ; décentralisation moins structurante.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Conventions citoyennes, proportionnelle, référendums, décentralisation et indépendance des médias très convergents.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IA</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Régulation des plateformes et accès non dématérialisé compatibles ; doctrine IA et protection des mineurs encore partielle.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Régulation forte des plateformes et de l’IA ; quelques réserves sur les dispositifs de vérification d’âge.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Cohésion &amp; immigration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lutte contre les discriminations et justice sociale ; position plus réservée sur l’immigration de travail.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non-discrimination et police contrôlée ; maîtrise des flux moins affirmée.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8A7100"/>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&amp; Ukraine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Autonomie européenne souhaitée, mais défense plus intergouvernementale et soutien militaire à l’Ukraine plus prudent.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européenne et favorable à l’Ukraine ; quelques différences possibles sur l’ampleur du réarmement.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bl>
    <w:p>
      <w:pPr>
        <w:sectPr>
          <w:headerReference w:type="default" r:id="rId34"/>
          <w:footerReference w:type="default" r:id="rId35"/>
          <w:pgSz w:w="15840" w:h="12240" w:orient="landscape"/>
          <w:pgMar w:top="605" w:right="720" w:bottom="648" w:left="720" w:header="317" w:footer="317" w:gutter="0"/>
          <w:cols w:space="720"/>
          <w:docGrid w:linePitch="360"/>
        </w:sectPr>
      </w:pPr>
    </w:p>
    <w:p>
      <w:pPr>
        <w:spacing w:before="0" w:after="40"/>
      </w:pPr>
      <w:r>
        <w:rPr>
          <w:rFonts w:ascii="Arial" w:hAnsi="Arial"/>
          <w:b/>
          <w:color w:val="8A7100"/>
          <w:sz w:val="15"/>
        </w:rPr>
        <w:t>MÉTHODE &amp; LIMITES</w:t>
      </w:r>
    </w:p>
    <w:p>
      <w:pPr>
        <w:pStyle w:val="Title"/>
        <w:spacing w:after="100"/>
        <w:pBdr>
          <w:bottom w:val="single" w:sz="8" w:space="3" w:color="FFD412"/>
        </w:pBdr>
      </w:pPr>
      <w:r>
        <w:rPr>
          <w:rFonts w:ascii="Arial" w:hAnsi="Arial"/>
          <w:b/>
          <w:color w:val="171918"/>
          <w:sz w:val="52"/>
        </w:rPr>
        <w:t>Ce que le score dit — et ne dit pas</w:t>
      </w: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Nature des notes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Chaque note est une appréciation éditoriale argumentée à partir des sources citées. Elle n’est pas le résultat d’une formule automatique. La même échelle de 0 à 10 est utilisée dans les quatre référentiels, mais les axes évalués ne sont pas identiques.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Écarts faibles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Un écart de 1 ou 2 points ne doit pas être interprété comme une différence décisive. Il peut évoluer avec un programme ou une position nouvelle.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Axes équipondérés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Les dix axes comptent chacun pour 10 %. Ce choix transparent évite une pondération cachée, mais ne reflète pas les priorités propres à chaque lecteur.</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Comparaison des référentiels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Les scores se lisent d’abord à l’intérieur de chaque référentiel. Le Parti Pirate, Volt, Équinoxe et La France Humaniste sont comparés séparément. Aucune moyenne générale n’est calculée. Les axes se recoupent partiellement et reposent en partie sur les mêmes sources candidates : la convergence de plusieurs classements ne constitue donc pas quatre validations indépendantes.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Sélection des candidatures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Dix figures nationales susceptibles de structurer 2027 ont été retenues afin de couvrir les principales familles politiques. La liste, arrêtée au 30 juillet 2026, n’est ni exhaustive ni une prédiction de candidature.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Corpus et incertitudes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Sources arrêtées au 29 juillet 2026. Les programmes incomplets sont complétés par des votes, bilans et prises de position. L’absence de position limite la note possible sans être assimilée à une opposition.</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Assistance par IA</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L’analyse a été préparée avec l’assistance de ChatGPT (OpenAI). Les positions et les justifications reposent sur les sources citées dans cette notice.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D412"/>
                <w:sz w:val="16"/>
              </w:rPr>
              <w:t>Portée du résultat</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Le total ne juge ni la compétence, ni la crédibilité, ni l’intégrité, ni la faisabilité budgétaire. Il mesure uniquement la proximité avec le référentiel choisi. Ce document n’est ni une publication officielle d’Équinoxe ni une consigne de vote.</w:t>
            </w:r>
          </w:p>
        </w:tc>
      </w:tr>
    </w:tbl>
    <w:p>
      <w:pPr>
        <w:spacing w:after="6" w:before="0"/>
      </w:pPr>
    </w:p>
    <w:p>
      <w:pPr>
        <w:spacing w:after="0" w:before="0"/>
      </w:pPr>
    </w:p>
    <w:p>
      <w:r>
        <w:br w:type="page"/>
      </w:r>
    </w:p>
    <w:p>
      <w:pPr>
        <w:spacing w:before="0" w:after="40"/>
      </w:pPr>
      <w:r>
        <w:rPr>
          <w:rFonts w:ascii="Arial" w:hAnsi="Arial"/>
          <w:b/>
          <w:color w:val="8A7100"/>
          <w:sz w:val="15"/>
        </w:rPr>
        <w:t>SOURCES</w:t>
      </w:r>
    </w:p>
    <w:p>
      <w:pPr>
        <w:pStyle w:val="Title"/>
        <w:spacing w:after="100"/>
        <w:pBdr>
          <w:bottom w:val="single" w:sz="8" w:space="3" w:color="FFD412"/>
        </w:pBdr>
      </w:pPr>
      <w:r>
        <w:rPr>
          <w:rFonts w:ascii="Arial" w:hAnsi="Arial"/>
          <w:b/>
          <w:color w:val="171918"/>
          <w:sz w:val="52"/>
        </w:rPr>
        <w:t>Référentiel et sources — 1/2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Référentiel Équinoxe — portail des programmes</w:t>
            </w:r>
            <w:r>
              <w:rPr>
                <w:rFonts w:ascii="Arial" w:hAnsi="Arial"/>
                <w:color w:val="6C6A66"/>
                <w:sz w:val="16"/>
              </w:rPr>
              <w:t xml:space="preserve"> — </w:t>
            </w:r>
            <w:hyperlink r:id="rId38">
              <w:r>
                <w:rPr>
                  <w:rFonts w:ascii="Arial" w:hAnsi="Arial"/>
                  <w:color w:val="365899"/>
                  <w:u w:val="single"/>
                </w:rPr>
                <w:t>parti-equinoxe.fr/programme</w:t>
              </w:r>
            </w:hyperlink>
          </w:p>
          <w:p>
            <w:pPr>
              <w:spacing w:after="0"/>
            </w:pPr>
            <w:r>
              <w:rPr>
                <w:rFonts w:ascii="Arial" w:hAnsi="Arial"/>
                <w:color w:val="6C6A66"/>
                <w:sz w:val="15"/>
              </w:rPr>
              <w:t>Programmes national et thématiques ; base du référentiel en dix axes.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Équinoxe — programme européen 2024</w:t>
            </w:r>
            <w:r>
              <w:rPr>
                <w:rFonts w:ascii="Arial" w:hAnsi="Arial"/>
                <w:color w:val="6C6A66"/>
                <w:sz w:val="16"/>
              </w:rPr>
              <w:t xml:space="preserve"> — </w:t>
            </w:r>
            <w:hyperlink r:id="rId39">
              <w:r>
                <w:rPr>
                  <w:rFonts w:ascii="Arial" w:hAnsi="Arial"/>
                  <w:color w:val="365899"/>
                  <w:u w:val="single"/>
                </w:rPr>
                <w:t>parti-equinoxe.fr/europeennes-2024</w:t>
              </w:r>
            </w:hyperlink>
          </w:p>
          <w:p>
            <w:pPr>
              <w:spacing w:after="0"/>
            </w:pPr>
            <w:r>
              <w:rPr>
                <w:rFonts w:ascii="Arial" w:hAnsi="Arial"/>
                <w:color w:val="6C6A66"/>
                <w:sz w:val="15"/>
              </w:rPr>
              <w:t>Europe, industrie, défense, climat et gouvernance.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Équinoxe — Antoine Mikolajczak et présidentielle 2027</w:t>
            </w:r>
            <w:r>
              <w:rPr>
                <w:rFonts w:ascii="Arial" w:hAnsi="Arial"/>
                <w:color w:val="6C6A66"/>
                <w:sz w:val="16"/>
              </w:rPr>
              <w:t xml:space="preserve"> — </w:t>
            </w:r>
            <w:hyperlink r:id="rId40">
              <w:r>
                <w:rPr>
                  <w:rFonts w:ascii="Arial" w:hAnsi="Arial"/>
                  <w:color w:val="365899"/>
                  <w:u w:val="single"/>
                </w:rPr>
                <w:t>parti-equinoxe.fr/qui-est-antoine-mikolajczak</w:t>
              </w:r>
            </w:hyperlink>
          </w:p>
          <w:p>
            <w:pPr>
              <w:spacing w:after="0"/>
            </w:pPr>
            <w:r>
              <w:rPr>
                <w:rFonts w:ascii="Arial" w:hAnsi="Arial"/>
                <w:color w:val="6C6A66"/>
                <w:sz w:val="15"/>
              </w:rPr>
              <w:t>État d’avancement du projet présidentiel.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Les Écologistes — programme 2026</w:t>
            </w:r>
            <w:r>
              <w:rPr>
                <w:rFonts w:ascii="Arial" w:hAnsi="Arial"/>
                <w:color w:val="6C6A66"/>
                <w:sz w:val="16"/>
              </w:rPr>
              <w:t xml:space="preserve"> — </w:t>
            </w:r>
            <w:hyperlink r:id="rId41">
              <w:r>
                <w:rPr>
                  <w:rFonts w:ascii="Arial" w:hAnsi="Arial"/>
                  <w:color w:val="365899"/>
                  <w:u w:val="single"/>
                </w:rPr>
                <w:t>lesecologistes.fr/document/5ZhR2m5t2ZaGKqIdD1bJaD/vdef-programme-1.pdf</w:t>
              </w:r>
            </w:hyperlink>
          </w:p>
          <w:p>
            <w:pPr>
              <w:spacing w:after="0"/>
            </w:pPr>
            <w:r>
              <w:rPr>
                <w:rFonts w:ascii="Arial" w:hAnsi="Arial"/>
                <w:color w:val="6C6A66"/>
                <w:sz w:val="15"/>
              </w:rPr>
              <w:t>Source principale pour Marine Tondelier.</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Place publique — Acte I</w:t>
            </w:r>
            <w:r>
              <w:rPr>
                <w:rFonts w:ascii="Arial" w:hAnsi="Arial"/>
                <w:color w:val="6C6A66"/>
                <w:sz w:val="16"/>
              </w:rPr>
              <w:t xml:space="preserve"> — </w:t>
            </w:r>
            <w:hyperlink r:id="rId42">
              <w:r>
                <w:rPr>
                  <w:rFonts w:ascii="Arial" w:hAnsi="Arial"/>
                  <w:color w:val="365899"/>
                  <w:u w:val="single"/>
                </w:rPr>
                <w:t>place-publique.eu/document/3Ari5O0s5O1L4iK1uyUhI0/pp-acte-un.pdf</w:t>
              </w:r>
            </w:hyperlink>
          </w:p>
          <w:p>
            <w:pPr>
              <w:spacing w:after="0"/>
            </w:pPr>
            <w:r>
              <w:rPr>
                <w:rFonts w:ascii="Arial" w:hAnsi="Arial"/>
                <w:color w:val="6C6A66"/>
                <w:sz w:val="15"/>
              </w:rPr>
              <w:t>Source principale pour Raphaël Glucksmann.</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François Ruffin — propositions et articles</w:t>
            </w:r>
            <w:r>
              <w:rPr>
                <w:rFonts w:ascii="Arial" w:hAnsi="Arial"/>
                <w:color w:val="6C6A66"/>
                <w:sz w:val="16"/>
              </w:rPr>
              <w:t xml:space="preserve"> — </w:t>
            </w:r>
            <w:hyperlink r:id="rId43">
              <w:r>
                <w:rPr>
                  <w:rFonts w:ascii="Arial" w:hAnsi="Arial"/>
                  <w:color w:val="365899"/>
                  <w:u w:val="single"/>
                </w:rPr>
                <w:t>francoisruffin.fr</w:t>
              </w:r>
            </w:hyperlink>
          </w:p>
          <w:p>
            <w:pPr>
              <w:spacing w:after="0"/>
            </w:pPr>
            <w:r>
              <w:rPr>
                <w:rFonts w:ascii="Arial" w:hAnsi="Arial"/>
                <w:color w:val="6C6A66"/>
                <w:sz w:val="15"/>
              </w:rPr>
              <w:t>Climat, transports, services publics, démocratie et économie.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Ruffin — doctrine européenne</w:t>
            </w:r>
            <w:r>
              <w:rPr>
                <w:rFonts w:ascii="Arial" w:hAnsi="Arial"/>
                <w:color w:val="6C6A66"/>
                <w:sz w:val="16"/>
              </w:rPr>
              <w:t xml:space="preserve"> — </w:t>
            </w:r>
            <w:hyperlink r:id="rId44">
              <w:r>
                <w:rPr>
                  <w:rFonts w:ascii="Arial" w:hAnsi="Arial"/>
                  <w:color w:val="365899"/>
                  <w:u w:val="single"/>
                </w:rPr>
                <w:t>legrandcontinent.eu/fr/2026/02/25/pour-une-declaration-dindependance-la-doctrine-ruff…</w:t>
              </w:r>
            </w:hyperlink>
          </w:p>
          <w:p>
            <w:pPr>
              <w:spacing w:after="0"/>
            </w:pPr>
            <w:r>
              <w:rPr>
                <w:rFonts w:ascii="Arial" w:hAnsi="Arial"/>
                <w:color w:val="6C6A66"/>
                <w:sz w:val="15"/>
              </w:rPr>
              <w:t>Europe, défense, autonomie stratégique et Ukraine.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LFI — programme européen 2024</w:t>
            </w:r>
            <w:r>
              <w:rPr>
                <w:rFonts w:ascii="Arial" w:hAnsi="Arial"/>
                <w:color w:val="6C6A66"/>
                <w:sz w:val="16"/>
              </w:rPr>
              <w:t xml:space="preserve"> — </w:t>
            </w:r>
            <w:hyperlink r:id="rId45">
              <w:r>
                <w:rPr>
                  <w:rFonts w:ascii="Arial" w:hAnsi="Arial"/>
                  <w:color w:val="365899"/>
                  <w:u w:val="single"/>
                </w:rPr>
                <w:t>lafranceinsoumise.fr/wp-content/uploads/2024/05/PROGRAMME-UNION-POPULAIRE_EURO-2024.pdf</w:t>
              </w:r>
            </w:hyperlink>
          </w:p>
          <w:p>
            <w:pPr>
              <w:spacing w:after="0"/>
            </w:pPr>
            <w:r>
              <w:rPr>
                <w:rFonts w:ascii="Arial" w:hAnsi="Arial"/>
                <w:color w:val="6C6A66"/>
                <w:sz w:val="15"/>
              </w:rPr>
              <w:t>Source principale pour Jean-Luc Mélenchon.</w:t>
            </w:r>
          </w:p>
        </w:tc>
      </w:tr>
    </w:tbl>
    <w:p>
      <w:pPr>
        <w:spacing w:after="6" w:before="0"/>
      </w:pPr>
    </w:p>
    <w:p>
      <w:r>
        <w:br w:type="page"/>
      </w:r>
    </w:p>
    <w:p>
      <w:pPr>
        <w:spacing w:before="0" w:after="40"/>
      </w:pPr>
      <w:r>
        <w:rPr>
          <w:rFonts w:ascii="Arial" w:hAnsi="Arial"/>
          <w:b/>
          <w:color w:val="8A7100"/>
          <w:sz w:val="15"/>
        </w:rPr>
        <w:t>SOURCES</w:t>
      </w:r>
    </w:p>
    <w:p>
      <w:pPr>
        <w:pStyle w:val="Title"/>
        <w:spacing w:after="100"/>
        <w:pBdr>
          <w:bottom w:val="single" w:sz="8" w:space="3" w:color="FFD412"/>
        </w:pBdr>
      </w:pPr>
      <w:r>
        <w:rPr>
          <w:rFonts w:ascii="Arial" w:hAnsi="Arial"/>
          <w:b/>
          <w:color w:val="171918"/>
          <w:sz w:val="52"/>
        </w:rPr>
        <w:t>Sources candidates — 2/2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PCF — programme européen 2024</w:t>
            </w:r>
            <w:r>
              <w:rPr>
                <w:rFonts w:ascii="Arial" w:hAnsi="Arial"/>
                <w:color w:val="6C6A66"/>
                <w:sz w:val="16"/>
              </w:rPr>
              <w:t xml:space="preserve"> — </w:t>
            </w:r>
            <w:hyperlink r:id="rId46">
              <w:r>
                <w:rPr>
                  <w:rFonts w:ascii="Arial" w:hAnsi="Arial"/>
                  <w:color w:val="365899"/>
                  <w:u w:val="single"/>
                </w:rPr>
                <w:t>oise.pcf.fr/sites/default/files/e2024-gumt-programme.pdf</w:t>
              </w:r>
            </w:hyperlink>
          </w:p>
          <w:p>
            <w:pPr>
              <w:spacing w:after="0"/>
            </w:pPr>
            <w:r>
              <w:rPr>
                <w:rFonts w:ascii="Arial" w:hAnsi="Arial"/>
                <w:color w:val="6C6A66"/>
                <w:sz w:val="15"/>
              </w:rPr>
              <w:t>Source principale pour Fabien Roussel.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Gabriel Attal — propositions officielles</w:t>
            </w:r>
            <w:r>
              <w:rPr>
                <w:rFonts w:ascii="Arial" w:hAnsi="Arial"/>
                <w:color w:val="6C6A66"/>
                <w:sz w:val="16"/>
              </w:rPr>
              <w:t xml:space="preserve"> — </w:t>
            </w:r>
            <w:hyperlink r:id="rId47">
              <w:r>
                <w:rPr>
                  <w:rFonts w:ascii="Arial" w:hAnsi="Arial"/>
                  <w:color w:val="365899"/>
                  <w:u w:val="single"/>
                </w:rPr>
                <w:t>attalpresident.fr/programme</w:t>
              </w:r>
            </w:hyperlink>
          </w:p>
          <w:p>
            <w:pPr>
              <w:spacing w:after="0"/>
            </w:pPr>
            <w:r>
              <w:rPr>
                <w:rFonts w:ascii="Arial" w:hAnsi="Arial"/>
                <w:color w:val="6C6A66"/>
                <w:sz w:val="15"/>
              </w:rPr>
              <w:t>Programme publié par thèmes, complété par le bilan gouvernemental.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Horizons — travaux et propositions</w:t>
            </w:r>
            <w:r>
              <w:rPr>
                <w:rFonts w:ascii="Arial" w:hAnsi="Arial"/>
                <w:color w:val="6C6A66"/>
                <w:sz w:val="16"/>
              </w:rPr>
              <w:t xml:space="preserve"> — </w:t>
            </w:r>
            <w:hyperlink r:id="rId48">
              <w:r>
                <w:rPr>
                  <w:rFonts w:ascii="Arial" w:hAnsi="Arial"/>
                  <w:color w:val="365899"/>
                  <w:u w:val="single"/>
                </w:rPr>
                <w:t>horizonsleparti.fr</w:t>
              </w:r>
            </w:hyperlink>
          </w:p>
          <w:p>
            <w:pPr>
              <w:spacing w:after="0"/>
            </w:pPr>
            <w:r>
              <w:rPr>
                <w:rFonts w:ascii="Arial" w:hAnsi="Arial"/>
                <w:color w:val="6C6A66"/>
                <w:sz w:val="15"/>
              </w:rPr>
              <w:t>Base programmatique pour Édouard Philippe.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Rassemblement national — programme 2024</w:t>
            </w:r>
            <w:r>
              <w:rPr>
                <w:rFonts w:ascii="Arial" w:hAnsi="Arial"/>
                <w:color w:val="6C6A66"/>
                <w:sz w:val="16"/>
              </w:rPr>
              <w:t xml:space="preserve"> — </w:t>
            </w:r>
            <w:hyperlink r:id="rId49">
              <w:r>
                <w:rPr>
                  <w:rFonts w:ascii="Arial" w:hAnsi="Arial"/>
                  <w:color w:val="365899"/>
                  <w:u w:val="single"/>
                </w:rPr>
                <w:t>rassemblementnational.fr/documents/202406-programme.pdf</w:t>
              </w:r>
            </w:hyperlink>
          </w:p>
          <w:p>
            <w:pPr>
              <w:spacing w:after="0"/>
            </w:pPr>
            <w:r>
              <w:rPr>
                <w:rFonts w:ascii="Arial" w:hAnsi="Arial"/>
                <w:color w:val="6C6A66"/>
                <w:sz w:val="15"/>
              </w:rPr>
              <w:t>Source principale pour Marine Le Pen.</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Les Républicains — actualités et propositions</w:t>
            </w:r>
            <w:r>
              <w:rPr>
                <w:rFonts w:ascii="Arial" w:hAnsi="Arial"/>
                <w:color w:val="6C6A66"/>
                <w:sz w:val="16"/>
              </w:rPr>
              <w:t xml:space="preserve"> — </w:t>
            </w:r>
            <w:hyperlink r:id="rId50">
              <w:r>
                <w:rPr>
                  <w:rFonts w:ascii="Arial" w:hAnsi="Arial"/>
                  <w:color w:val="365899"/>
                  <w:u w:val="single"/>
                </w:rPr>
                <w:t>republicains.fr/actualites</w:t>
              </w:r>
            </w:hyperlink>
          </w:p>
          <w:p>
            <w:pPr>
              <w:spacing w:after="0"/>
            </w:pPr>
            <w:r>
              <w:rPr>
                <w:rFonts w:ascii="Arial" w:hAnsi="Arial"/>
                <w:color w:val="6C6A66"/>
                <w:sz w:val="15"/>
              </w:rPr>
              <w:t>Base thématique pour Bruno Retailleau.</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Reconquête — déclaration présidentielle 2022</w:t>
            </w:r>
            <w:r>
              <w:rPr>
                <w:rFonts w:ascii="Arial" w:hAnsi="Arial"/>
                <w:color w:val="6C6A66"/>
                <w:sz w:val="16"/>
              </w:rPr>
              <w:t xml:space="preserve"> — </w:t>
            </w:r>
            <w:hyperlink r:id="rId51">
              <w:r>
                <w:rPr>
                  <w:rFonts w:ascii="Arial" w:hAnsi="Arial"/>
                  <w:color w:val="365899"/>
                  <w:u w:val="single"/>
                </w:rPr>
                <w:t>www.cnccep.fr/pdfs/Candidat-12-Eric-Zemmour-Declaration.pdf</w:t>
              </w:r>
            </w:hyperlink>
          </w:p>
          <w:p>
            <w:pPr>
              <w:spacing w:after="0"/>
            </w:pPr>
            <w:r>
              <w:rPr>
                <w:rFonts w:ascii="Arial" w:hAnsi="Arial"/>
                <w:color w:val="6C6A66"/>
                <w:sz w:val="15"/>
              </w:rPr>
              <w:t>Base principale pour Éric Zemmour, complétée par ses positions ultérieures.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FFD412"/>
              <w:start w:val="single" w:sz="8" w:color="FFD412"/>
              <w:bottom w:val="single" w:sz="8" w:color="FFD412"/>
              <w:end w:val="single" w:sz="8" w:color="FFD412"/>
            </w:tcBorders>
          </w:tcPr>
          <w:p>
            <w:pPr>
              <w:spacing w:after="40"/>
            </w:pPr>
            <w:r>
              <w:rPr>
                <w:rFonts w:ascii="Arial" w:hAnsi="Arial"/>
                <w:b/>
                <w:color w:val="8A7100"/>
                <w:sz w:val="18"/>
              </w:rPr>
              <w:t>Crédits visuels</w:t>
            </w:r>
          </w:p>
          <w:p>
            <w:pPr>
              <w:spacing w:after="0"/>
            </w:pPr>
            <w:r>
              <w:rPr>
                <w:rFonts w:ascii="Arial" w:hAnsi="Arial"/>
                <w:color w:val="171918"/>
                <w:sz w:val="16"/>
              </w:rPr>
              <w:t>Crédits visuels</w:t>
              <w:br/>
              <w:t>Éric Zemmour : Anh De France (CC0). Bruno Retailleau : UK Home Office / Andy Taylor (CC BY 2.0). Marine Le Pen : VOX España (domaine public). Édouard Philippe : Wasasaq8 (CC0). Gabriel Attal : Sydney Phoenix / DHS (domaine public). Fabien Roussel : Zouhair Nakara (CC BY-SA 4.0). Raphaël Glucksmann : Union européenne 2024 — Parlement européen. Jean-Luc Mélenchon : Thomas Bresson (CC BY 4.0). François Ruffin : Thinkerview (CC BY-SA 4.0). Marine Tondelier : Selbymay (CC BY 4.0), Wikimedia Commons.</w:t>
            </w:r>
          </w:p>
        </w:tc>
      </w:tr>
    </w:tbl>
    <w:p>
      <w:pPr>
        <w:spacing w:after="0" w:before="0"/>
      </w:pPr>
    </w:p>
    <w:sectPr w:rsidR="00FC693F" w:rsidRPr="0006063C" w:rsidSect="00034616">
      <w:headerReference w:type="default" r:id="rId36"/>
      <w:footerReference w:type="default" r:id="rId37"/>
      <w:pgSz w:w="12240" w:h="15840"/>
      <w:pgMar w:top="720" w:right="1440" w:bottom="720" w:left="1440"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ÉQUINOXE  ·  30 JUILLET 2026   |   </w:t>
    </w:r>
    <w:r>
      <w:rPr>
        <w:rFonts w:ascii="Arial" w:hAnsi="Arial"/>
        <w:color w:val="666666"/>
        <w:sz w:val="15"/>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color w:val="17191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171918"/>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8A7100"/>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7191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17191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80"/>
    </w:pPr>
    <w:rPr>
      <w:rFonts w:ascii="Arial" w:hAnsi="Arial"/>
      <w:b w:val="0"/>
      <w:bCs/>
      <w:i w:val="0"/>
      <w:color w:val="6C6A66"/>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header" Target="header5.xml"/><Relationship Id="rId22" Type="http://schemas.openxmlformats.org/officeDocument/2006/relationships/footer" Target="footer5.xml"/><Relationship Id="rId23" Type="http://schemas.openxmlformats.org/officeDocument/2006/relationships/image" Target="media/image5.png"/><Relationship Id="rId24" Type="http://schemas.openxmlformats.org/officeDocument/2006/relationships/header" Target="header6.xml"/><Relationship Id="rId25" Type="http://schemas.openxmlformats.org/officeDocument/2006/relationships/footer" Target="footer6.xml"/><Relationship Id="rId26" Type="http://schemas.openxmlformats.org/officeDocument/2006/relationships/header" Target="header7.xml"/><Relationship Id="rId27" Type="http://schemas.openxmlformats.org/officeDocument/2006/relationships/footer" Target="footer7.xml"/><Relationship Id="rId28" Type="http://schemas.openxmlformats.org/officeDocument/2006/relationships/image" Target="media/image6.png"/><Relationship Id="rId29" Type="http://schemas.openxmlformats.org/officeDocument/2006/relationships/header" Target="header8.xml"/><Relationship Id="rId30" Type="http://schemas.openxmlformats.org/officeDocument/2006/relationships/footer" Target="footer8.xml"/><Relationship Id="rId31" Type="http://schemas.openxmlformats.org/officeDocument/2006/relationships/header" Target="header9.xml"/><Relationship Id="rId32" Type="http://schemas.openxmlformats.org/officeDocument/2006/relationships/footer" Target="footer9.xml"/><Relationship Id="rId33" Type="http://schemas.openxmlformats.org/officeDocument/2006/relationships/image" Target="media/image7.png"/><Relationship Id="rId34" Type="http://schemas.openxmlformats.org/officeDocument/2006/relationships/header" Target="header10.xml"/><Relationship Id="rId35" Type="http://schemas.openxmlformats.org/officeDocument/2006/relationships/footer" Target="footer10.xml"/><Relationship Id="rId36" Type="http://schemas.openxmlformats.org/officeDocument/2006/relationships/header" Target="header11.xml"/><Relationship Id="rId37" Type="http://schemas.openxmlformats.org/officeDocument/2006/relationships/footer" Target="footer11.xml"/><Relationship Id="rId38" Type="http://schemas.openxmlformats.org/officeDocument/2006/relationships/hyperlink" Target="https://parti-equinoxe.fr/programme/" TargetMode="External"/><Relationship Id="rId39" Type="http://schemas.openxmlformats.org/officeDocument/2006/relationships/hyperlink" Target="https://parti-equinoxe.fr/europeennes-2024/" TargetMode="External"/><Relationship Id="rId40" Type="http://schemas.openxmlformats.org/officeDocument/2006/relationships/hyperlink" Target="https://parti-equinoxe.fr/qui-est-antoine-mikolajczak/" TargetMode="External"/><Relationship Id="rId41" Type="http://schemas.openxmlformats.org/officeDocument/2006/relationships/hyperlink" Target="https://lesecologistes.fr/document/5ZhR2m5t2ZaGKqIdD1bJaD/vdef-programme-1.pdf" TargetMode="External"/><Relationship Id="rId42" Type="http://schemas.openxmlformats.org/officeDocument/2006/relationships/hyperlink" Target="https://place-publique.eu/document/3Ari5O0s5O1L4iK1uyUhI0/pp-acte-un.pdf" TargetMode="External"/><Relationship Id="rId43" Type="http://schemas.openxmlformats.org/officeDocument/2006/relationships/hyperlink" Target="https://francoisruffin.fr/" TargetMode="External"/><Relationship Id="rId44" Type="http://schemas.openxmlformats.org/officeDocument/2006/relationships/hyperlink" Target="https://legrandcontinent.eu/fr/2026/02/25/pour-une-declaration-dindependance-la-doctrine-ruffin-sur-leurope/" TargetMode="External"/><Relationship Id="rId45" Type="http://schemas.openxmlformats.org/officeDocument/2006/relationships/hyperlink" Target="https://lafranceinsoumise.fr/wp-content/uploads/2024/05/PROGRAMME-UNION-POPULAIRE_EURO-2024.pdf" TargetMode="External"/><Relationship Id="rId46" Type="http://schemas.openxmlformats.org/officeDocument/2006/relationships/hyperlink" Target="https://oise.pcf.fr/sites/default/files/e2024-gumt-programme.pdf" TargetMode="External"/><Relationship Id="rId47" Type="http://schemas.openxmlformats.org/officeDocument/2006/relationships/hyperlink" Target="https://attalpresident.fr/programme/" TargetMode="External"/><Relationship Id="rId48" Type="http://schemas.openxmlformats.org/officeDocument/2006/relationships/hyperlink" Target="https://horizonsleparti.fr/" TargetMode="External"/><Relationship Id="rId49" Type="http://schemas.openxmlformats.org/officeDocument/2006/relationships/hyperlink" Target="https://rassemblementnational.fr/documents/202406-programme.pdf" TargetMode="External"/><Relationship Id="rId50" Type="http://schemas.openxmlformats.org/officeDocument/2006/relationships/hyperlink" Target="https://republicains.fr/actualites/" TargetMode="External"/><Relationship Id="rId51" Type="http://schemas.openxmlformats.org/officeDocument/2006/relationships/hyperlink" Target="https://www.cnccep.fr/pdfs/Candidat-12-Eric-Zemmour-Decla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Compatibilité programmatique — présidentielle 2027 — référentiel Équinoxe</dc:title>
  <dc:subject>Comparatif indépendant de dix candidatures sur dix axes notés directement sur dix</dc:subject>
  <dc:creator>Document de travail indépendant</dc:creator>
  <cp:keywords/>
  <dc:description>Version harmonisée du 30 juillet 2026</dc:description>
  <cp:lastModifiedBy/>
  <cp:revision>2</cp:revision>
  <dcterms:created xsi:type="dcterms:W3CDTF">2013-12-23T23:15:00Z</dcterms:created>
  <dcterms:modified xsi:type="dcterms:W3CDTF">2013-12-23T23:15:00Z</dcterms:modified>
  <cp:category/>
</cp:coreProperties>
</file>